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42" w:rsidRPr="00446800" w:rsidRDefault="00FC2C42" w:rsidP="00FC2C42">
      <w:pPr>
        <w:pStyle w:val="2"/>
        <w:jc w:val="center"/>
        <w:rPr>
          <w:b/>
          <w:sz w:val="40"/>
          <w:szCs w:val="40"/>
        </w:rPr>
      </w:pPr>
      <w:bookmarkStart w:id="0" w:name="_GoBack"/>
      <w:r w:rsidRPr="00446800">
        <w:rPr>
          <w:rFonts w:hint="eastAsia"/>
          <w:sz w:val="40"/>
          <w:szCs w:val="40"/>
        </w:rPr>
        <w:t>行政院運用勞動派遣應行注意事項</w:t>
      </w:r>
      <w:r>
        <w:rPr>
          <w:rFonts w:hint="eastAsia"/>
          <w:sz w:val="40"/>
          <w:szCs w:val="40"/>
        </w:rPr>
        <w:t>第六點、第七點</w:t>
      </w:r>
      <w:r w:rsidRPr="00446800">
        <w:rPr>
          <w:rFonts w:hint="eastAsia"/>
          <w:sz w:val="40"/>
          <w:szCs w:val="40"/>
        </w:rPr>
        <w:t>修正對照表</w:t>
      </w:r>
    </w:p>
    <w:tbl>
      <w:tblPr>
        <w:tblW w:w="9356"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8"/>
        <w:gridCol w:w="3119"/>
        <w:gridCol w:w="3119"/>
      </w:tblGrid>
      <w:tr w:rsidR="00FC2C42" w:rsidRPr="00B4660B" w:rsidTr="006E6CBC">
        <w:tc>
          <w:tcPr>
            <w:tcW w:w="3118" w:type="dxa"/>
          </w:tcPr>
          <w:bookmarkEnd w:id="0"/>
          <w:p w:rsidR="00FC2C42" w:rsidRPr="001242BB" w:rsidRDefault="00FC2C42" w:rsidP="00403CEB">
            <w:pPr>
              <w:jc w:val="distribute"/>
              <w:rPr>
                <w:rFonts w:ascii="標楷體" w:eastAsia="標楷體" w:hAnsi="標楷體"/>
                <w:b/>
              </w:rPr>
            </w:pPr>
            <w:r w:rsidRPr="001242BB">
              <w:rPr>
                <w:rFonts w:ascii="標楷體" w:eastAsia="標楷體" w:hAnsi="標楷體" w:hint="eastAsia"/>
                <w:b/>
              </w:rPr>
              <w:t>修正</w:t>
            </w:r>
            <w:r>
              <w:rPr>
                <w:rFonts w:ascii="標楷體" w:eastAsia="標楷體" w:hAnsi="標楷體" w:hint="eastAsia"/>
                <w:b/>
              </w:rPr>
              <w:t>規定</w:t>
            </w:r>
          </w:p>
        </w:tc>
        <w:tc>
          <w:tcPr>
            <w:tcW w:w="3119" w:type="dxa"/>
          </w:tcPr>
          <w:p w:rsidR="00FC2C42" w:rsidRPr="001242BB" w:rsidRDefault="00FC2C42" w:rsidP="00403CEB">
            <w:pPr>
              <w:jc w:val="distribute"/>
              <w:rPr>
                <w:rFonts w:ascii="標楷體" w:eastAsia="標楷體" w:hAnsi="標楷體"/>
                <w:b/>
              </w:rPr>
            </w:pPr>
            <w:r w:rsidRPr="001242BB">
              <w:rPr>
                <w:rFonts w:ascii="標楷體" w:eastAsia="標楷體" w:hAnsi="標楷體" w:hint="eastAsia"/>
                <w:b/>
              </w:rPr>
              <w:t>現行規定</w:t>
            </w:r>
          </w:p>
        </w:tc>
        <w:tc>
          <w:tcPr>
            <w:tcW w:w="3119" w:type="dxa"/>
          </w:tcPr>
          <w:p w:rsidR="00FC2C42" w:rsidRPr="001242BB" w:rsidRDefault="00FC2C42" w:rsidP="00403CEB">
            <w:pPr>
              <w:jc w:val="distribute"/>
              <w:rPr>
                <w:rFonts w:ascii="標楷體" w:eastAsia="標楷體" w:hAnsi="標楷體"/>
                <w:b/>
              </w:rPr>
            </w:pPr>
            <w:r w:rsidRPr="001242BB">
              <w:rPr>
                <w:rFonts w:ascii="標楷體" w:eastAsia="標楷體" w:hAnsi="標楷體" w:hint="eastAsia"/>
                <w:b/>
              </w:rPr>
              <w:t>說明</w:t>
            </w:r>
          </w:p>
        </w:tc>
      </w:tr>
      <w:tr w:rsidR="00FC2C42" w:rsidRPr="00B4660B" w:rsidTr="00403CEB">
        <w:tc>
          <w:tcPr>
            <w:tcW w:w="3118" w:type="dxa"/>
          </w:tcPr>
          <w:p w:rsidR="00FC2C42" w:rsidRPr="00A530B3" w:rsidRDefault="00FC2C42" w:rsidP="00403CEB">
            <w:pPr>
              <w:spacing w:line="420" w:lineRule="exact"/>
              <w:ind w:left="480" w:hangingChars="200" w:hanging="480"/>
              <w:jc w:val="both"/>
              <w:rPr>
                <w:rFonts w:ascii="標楷體" w:eastAsia="標楷體" w:hAnsi="標楷體"/>
              </w:rPr>
            </w:pPr>
            <w:r w:rsidRPr="00A530B3">
              <w:rPr>
                <w:rFonts w:ascii="標楷體" w:eastAsia="標楷體" w:hAnsi="標楷體" w:hint="eastAsia"/>
              </w:rPr>
              <w:t>六、各機關運用派遣勞工人數，在勞動派遣相關規定完成立法前，應予適度控管，原則不得超過中華民國九十九年一月三十一日各機關實際進用派遣勞工人數</w:t>
            </w:r>
            <w:r>
              <w:rPr>
                <w:rFonts w:ascii="標楷體" w:eastAsia="標楷體" w:hAnsi="標楷體" w:hint="eastAsia"/>
              </w:rPr>
              <w:t>，</w:t>
            </w:r>
            <w:r w:rsidRPr="00A530B3">
              <w:rPr>
                <w:rFonts w:ascii="標楷體" w:eastAsia="標楷體" w:hAnsi="標楷體" w:hint="eastAsia"/>
              </w:rPr>
              <w:t>由主管機關視所屬機關之業務需要，進行總量管控</w:t>
            </w:r>
            <w:r w:rsidRPr="00FC2C42">
              <w:rPr>
                <w:rFonts w:ascii="標楷體" w:eastAsia="標楷體" w:hAnsi="標楷體" w:hint="eastAsia"/>
                <w:u w:val="single"/>
              </w:rPr>
              <w:t>；其人數上限如附表。</w:t>
            </w:r>
            <w:r w:rsidRPr="00A530B3">
              <w:rPr>
                <w:rFonts w:ascii="標楷體" w:eastAsia="標楷體" w:hAnsi="標楷體" w:hint="eastAsia"/>
              </w:rPr>
              <w:t>並按季調查所運用人數情形，函送本院人事行政總處備查。</w:t>
            </w:r>
          </w:p>
          <w:p w:rsidR="00FC2C42" w:rsidRPr="00A530B3" w:rsidRDefault="00FC2C42" w:rsidP="00403CEB">
            <w:pPr>
              <w:spacing w:line="420" w:lineRule="exact"/>
              <w:ind w:left="540" w:hangingChars="225" w:hanging="540"/>
              <w:jc w:val="both"/>
              <w:rPr>
                <w:rFonts w:ascii="標楷體" w:eastAsia="標楷體" w:hAnsi="標楷體"/>
              </w:rPr>
            </w:pPr>
            <w:r w:rsidRPr="00A530B3">
              <w:rPr>
                <w:rFonts w:ascii="標楷體" w:eastAsia="標楷體" w:hAnsi="標楷體" w:hint="eastAsia"/>
              </w:rPr>
              <w:t xml:space="preserve">       各機關於本注意事項生效前運用之派遣勞工，如非屬第三點第一項規定之範圍者，得依以下方式檢討其所辦理之業務：</w:t>
            </w:r>
          </w:p>
          <w:p w:rsidR="00FC2C42" w:rsidRDefault="00FC2C42" w:rsidP="00FC2C42">
            <w:pPr>
              <w:pStyle w:val="21"/>
              <w:numPr>
                <w:ilvl w:val="1"/>
                <w:numId w:val="1"/>
              </w:numPr>
              <w:spacing w:line="420" w:lineRule="exact"/>
              <w:ind w:leftChars="0" w:left="804" w:hanging="851"/>
              <w:rPr>
                <w:rFonts w:ascii="標楷體" w:eastAsia="標楷體" w:hAnsi="標楷體"/>
              </w:rPr>
            </w:pPr>
            <w:r w:rsidRPr="00A530B3">
              <w:rPr>
                <w:rFonts w:ascii="標楷體" w:eastAsia="標楷體" w:hAnsi="標楷體" w:hint="eastAsia"/>
              </w:rPr>
              <w:t>將業務區塊以勞務承攬方式辦理。</w:t>
            </w:r>
          </w:p>
          <w:p w:rsidR="00FC2C42" w:rsidRDefault="00FC2C42" w:rsidP="00FC2C42">
            <w:pPr>
              <w:pStyle w:val="21"/>
              <w:numPr>
                <w:ilvl w:val="1"/>
                <w:numId w:val="1"/>
              </w:numPr>
              <w:spacing w:line="420" w:lineRule="exact"/>
              <w:ind w:leftChars="0" w:left="804" w:hanging="851"/>
              <w:rPr>
                <w:rFonts w:ascii="標楷體" w:eastAsia="標楷體" w:hAnsi="標楷體"/>
              </w:rPr>
            </w:pPr>
            <w:r w:rsidRPr="00A530B3">
              <w:rPr>
                <w:rFonts w:ascii="標楷體" w:eastAsia="標楷體" w:hAnsi="標楷體" w:hint="eastAsia"/>
              </w:rPr>
              <w:t>依本院及所屬各機關學校臨時人員進用及運用要點規定以定期契約進用臨時人員辦理。</w:t>
            </w:r>
          </w:p>
          <w:p w:rsidR="00FC2C42" w:rsidRPr="00A530B3" w:rsidRDefault="00FC2C42" w:rsidP="00FC2C42">
            <w:pPr>
              <w:pStyle w:val="21"/>
              <w:numPr>
                <w:ilvl w:val="1"/>
                <w:numId w:val="1"/>
              </w:numPr>
              <w:spacing w:line="420" w:lineRule="exact"/>
              <w:ind w:leftChars="0" w:left="804" w:hanging="851"/>
              <w:rPr>
                <w:rFonts w:ascii="標楷體" w:eastAsia="標楷體" w:hAnsi="標楷體"/>
              </w:rPr>
            </w:pPr>
            <w:r w:rsidRPr="00A530B3">
              <w:rPr>
                <w:rFonts w:ascii="標楷體" w:eastAsia="標楷體" w:hAnsi="標楷體" w:hint="eastAsia"/>
              </w:rPr>
              <w:t>依相關法令改採其他人力進用之替代措施辦理。</w:t>
            </w:r>
          </w:p>
        </w:tc>
        <w:tc>
          <w:tcPr>
            <w:tcW w:w="3119" w:type="dxa"/>
          </w:tcPr>
          <w:p w:rsidR="00FC2C42" w:rsidRPr="00A530B3" w:rsidRDefault="00FC2C42" w:rsidP="00403CEB">
            <w:pPr>
              <w:spacing w:line="420" w:lineRule="exact"/>
              <w:ind w:left="480" w:hangingChars="200" w:hanging="480"/>
              <w:jc w:val="both"/>
              <w:rPr>
                <w:rFonts w:ascii="標楷體" w:eastAsia="標楷體" w:hAnsi="標楷體"/>
              </w:rPr>
            </w:pPr>
            <w:r w:rsidRPr="00A530B3">
              <w:rPr>
                <w:rFonts w:ascii="標楷體" w:eastAsia="標楷體" w:hAnsi="標楷體" w:hint="eastAsia"/>
              </w:rPr>
              <w:t>六、各機關運用派遣勞工人數，在勞動派遣相關規定完成立法前，應予適度控管，原則不得超過中華民國九十九年一月三十一日各機關實際進用派遣勞工人數</w:t>
            </w:r>
            <w:r w:rsidRPr="00A530B3">
              <w:rPr>
                <w:rFonts w:ascii="標楷體" w:eastAsia="標楷體" w:hAnsi="標楷體" w:hint="eastAsia"/>
                <w:u w:val="single"/>
              </w:rPr>
              <w:t>（包括上開期日前已在招標程序中或簽訂契約進用之人數）</w:t>
            </w:r>
            <w:r w:rsidRPr="00A530B3">
              <w:rPr>
                <w:rFonts w:ascii="標楷體" w:eastAsia="標楷體" w:hAnsi="標楷體" w:hint="eastAsia"/>
              </w:rPr>
              <w:t>，並由主管機關視所屬機關之業務需要，進行總量管控，並按季調查所運用人數情形，函送本院人事行政總處備查。</w:t>
            </w:r>
          </w:p>
          <w:p w:rsidR="00FC2C42" w:rsidRPr="00A530B3" w:rsidRDefault="00FC2C42" w:rsidP="00403CEB">
            <w:pPr>
              <w:spacing w:line="420" w:lineRule="exact"/>
              <w:ind w:left="540" w:hangingChars="225" w:hanging="540"/>
              <w:jc w:val="both"/>
              <w:rPr>
                <w:rFonts w:ascii="標楷體" w:eastAsia="標楷體" w:hAnsi="標楷體"/>
              </w:rPr>
            </w:pPr>
            <w:r w:rsidRPr="00A530B3">
              <w:rPr>
                <w:rFonts w:ascii="標楷體" w:eastAsia="標楷體" w:hAnsi="標楷體" w:hint="eastAsia"/>
              </w:rPr>
              <w:t xml:space="preserve">       各機關於本注意事項生效前運用之派遣勞工，如非屬第三點第一項規定之範圍者，得依以下方式檢討其所辦理之業務：</w:t>
            </w:r>
          </w:p>
          <w:p w:rsidR="00FC2C42" w:rsidRDefault="00FC2C42" w:rsidP="00FC2C42">
            <w:pPr>
              <w:pStyle w:val="21"/>
              <w:numPr>
                <w:ilvl w:val="0"/>
                <w:numId w:val="2"/>
              </w:numPr>
              <w:spacing w:line="420" w:lineRule="exact"/>
              <w:ind w:leftChars="0" w:left="804" w:hanging="850"/>
              <w:rPr>
                <w:rFonts w:ascii="標楷體" w:eastAsia="標楷體" w:hAnsi="標楷體"/>
              </w:rPr>
            </w:pPr>
            <w:r w:rsidRPr="00A530B3">
              <w:rPr>
                <w:rFonts w:ascii="標楷體" w:eastAsia="標楷體" w:hAnsi="標楷體" w:hint="eastAsia"/>
              </w:rPr>
              <w:t>將業務區塊以勞務承攬方式辦理。</w:t>
            </w:r>
          </w:p>
          <w:p w:rsidR="00FC2C42" w:rsidRDefault="00FC2C42" w:rsidP="00FC2C42">
            <w:pPr>
              <w:pStyle w:val="21"/>
              <w:numPr>
                <w:ilvl w:val="0"/>
                <w:numId w:val="2"/>
              </w:numPr>
              <w:spacing w:line="420" w:lineRule="exact"/>
              <w:ind w:leftChars="0" w:left="804" w:hanging="850"/>
              <w:rPr>
                <w:rFonts w:ascii="標楷體" w:eastAsia="標楷體" w:hAnsi="標楷體"/>
              </w:rPr>
            </w:pPr>
            <w:r w:rsidRPr="00A530B3">
              <w:rPr>
                <w:rFonts w:ascii="標楷體" w:eastAsia="標楷體" w:hAnsi="標楷體" w:hint="eastAsia"/>
              </w:rPr>
              <w:t>依本院及所屬各機關學校臨時人員進用及運用要點規定以定期契約進用臨時人員辦理。</w:t>
            </w:r>
          </w:p>
          <w:p w:rsidR="00FC2C42" w:rsidRPr="00A530B3" w:rsidRDefault="00FC2C42" w:rsidP="00FC2C42">
            <w:pPr>
              <w:pStyle w:val="21"/>
              <w:numPr>
                <w:ilvl w:val="0"/>
                <w:numId w:val="2"/>
              </w:numPr>
              <w:spacing w:line="420" w:lineRule="exact"/>
              <w:ind w:leftChars="0" w:left="804" w:hanging="850"/>
              <w:rPr>
                <w:rFonts w:ascii="標楷體" w:eastAsia="標楷體" w:hAnsi="標楷體"/>
              </w:rPr>
            </w:pPr>
            <w:r w:rsidRPr="00A530B3">
              <w:rPr>
                <w:rFonts w:ascii="標楷體" w:eastAsia="標楷體" w:hAnsi="標楷體" w:hint="eastAsia"/>
              </w:rPr>
              <w:t>依相關法令改採其他人力進用之替代措施辦理。</w:t>
            </w:r>
          </w:p>
        </w:tc>
        <w:tc>
          <w:tcPr>
            <w:tcW w:w="3119" w:type="dxa"/>
          </w:tcPr>
          <w:p w:rsidR="00FC2C42" w:rsidRPr="00A530B3" w:rsidRDefault="00FC2C42" w:rsidP="00FC2C42">
            <w:pPr>
              <w:spacing w:line="420" w:lineRule="exact"/>
              <w:jc w:val="both"/>
              <w:rPr>
                <w:rFonts w:ascii="標楷體" w:eastAsia="標楷體" w:hAnsi="標楷體"/>
              </w:rPr>
            </w:pPr>
            <w:r w:rsidRPr="00A530B3">
              <w:rPr>
                <w:rFonts w:ascii="標楷體" w:eastAsia="標楷體" w:hAnsi="標楷體" w:hint="eastAsia"/>
              </w:rPr>
              <w:t>查立法院審查</w:t>
            </w:r>
            <w:r>
              <w:rPr>
                <w:rFonts w:ascii="標楷體" w:eastAsia="標楷體" w:hAnsi="標楷體" w:hint="eastAsia"/>
              </w:rPr>
              <w:t>一百零三</w:t>
            </w:r>
            <w:r w:rsidRPr="00A530B3">
              <w:rPr>
                <w:rFonts w:ascii="標楷體" w:eastAsia="標楷體" w:hAnsi="標楷體" w:hint="eastAsia"/>
              </w:rPr>
              <w:t>年度中央政府總預算案所通過之通案決議略以，「各機關單位並應同時針對未來業務人力之規劃進行全盤檢討，派遣員工人數不得新增。」為遵守上開決議</w:t>
            </w:r>
            <w:r>
              <w:rPr>
                <w:rFonts w:ascii="標楷體" w:eastAsia="標楷體" w:hAnsi="標楷體" w:hint="eastAsia"/>
              </w:rPr>
              <w:t>，</w:t>
            </w:r>
            <w:r w:rsidRPr="00A530B3">
              <w:rPr>
                <w:rFonts w:ascii="標楷體" w:eastAsia="標楷體" w:hAnsi="標楷體" w:hint="eastAsia"/>
              </w:rPr>
              <w:t>爰調整各主管機關得運用派遣勞工人數上限，並以附表呈現。</w:t>
            </w:r>
          </w:p>
        </w:tc>
      </w:tr>
      <w:tr w:rsidR="00FC2C42" w:rsidRPr="00B4660B" w:rsidTr="00403CEB">
        <w:tc>
          <w:tcPr>
            <w:tcW w:w="3118" w:type="dxa"/>
          </w:tcPr>
          <w:p w:rsidR="00FC2C42" w:rsidRPr="00A530B3" w:rsidRDefault="00FC2C42" w:rsidP="00403CEB">
            <w:pPr>
              <w:pStyle w:val="a8"/>
              <w:spacing w:line="420" w:lineRule="exact"/>
              <w:ind w:leftChars="39" w:left="660" w:hangingChars="236" w:hanging="566"/>
              <w:rPr>
                <w:sz w:val="24"/>
              </w:rPr>
            </w:pPr>
            <w:r w:rsidRPr="00A530B3">
              <w:rPr>
                <w:rFonts w:hint="eastAsia"/>
                <w:sz w:val="24"/>
              </w:rPr>
              <w:lastRenderedPageBreak/>
              <w:t>七、各機關有運用勞動派遣者，應依下列規定檢討評估：</w:t>
            </w:r>
          </w:p>
          <w:p w:rsidR="00FC2C42" w:rsidRPr="00A530B3" w:rsidRDefault="00FC2C42" w:rsidP="00403CEB">
            <w:pPr>
              <w:pStyle w:val="a3"/>
              <w:spacing w:line="420" w:lineRule="exact"/>
              <w:ind w:leftChars="100" w:left="960" w:hangingChars="300" w:hanging="720"/>
              <w:jc w:val="both"/>
              <w:rPr>
                <w:rFonts w:ascii="標楷體" w:hAnsi="標楷體"/>
                <w:sz w:val="24"/>
              </w:rPr>
            </w:pPr>
            <w:r w:rsidRPr="00A530B3">
              <w:rPr>
                <w:rFonts w:ascii="標楷體" w:hAnsi="標楷體" w:hint="eastAsia"/>
                <w:sz w:val="24"/>
              </w:rPr>
              <w:t>（一）各機關與派遣事業單位之要派契約到期後，應重新審視該項業務是否符合第三點第一項之範圍，並檢討評估賡續運用派遣勞工之必要性。</w:t>
            </w:r>
          </w:p>
          <w:p w:rsidR="00FC2C42" w:rsidRPr="00A530B3" w:rsidRDefault="00FC2C42" w:rsidP="00403CEB">
            <w:pPr>
              <w:pStyle w:val="a3"/>
              <w:spacing w:line="420" w:lineRule="exact"/>
              <w:ind w:leftChars="100" w:left="960" w:hangingChars="300" w:hanging="720"/>
              <w:jc w:val="both"/>
              <w:rPr>
                <w:rFonts w:ascii="標楷體" w:hAnsi="標楷體"/>
                <w:sz w:val="24"/>
              </w:rPr>
            </w:pPr>
            <w:r w:rsidRPr="00A530B3">
              <w:rPr>
                <w:rFonts w:ascii="標楷體" w:hAnsi="標楷體" w:hint="eastAsia"/>
                <w:sz w:val="24"/>
              </w:rPr>
              <w:t>（二）各機關應對負責運用勞動派遣業務相關承辦人員，加強勞動權益保障法令之訓練及實務個案經驗傳承，並提升各機關承辦人員勞動權益保障之專業知能。</w:t>
            </w:r>
          </w:p>
          <w:p w:rsidR="00FC2C42" w:rsidRPr="00A530B3" w:rsidRDefault="00FC2C42" w:rsidP="00403CEB">
            <w:pPr>
              <w:pStyle w:val="a3"/>
              <w:spacing w:line="420" w:lineRule="exact"/>
              <w:ind w:leftChars="100" w:left="960" w:hangingChars="300" w:hanging="720"/>
              <w:jc w:val="both"/>
              <w:rPr>
                <w:rFonts w:ascii="標楷體" w:hAnsi="標楷體"/>
                <w:sz w:val="24"/>
              </w:rPr>
            </w:pPr>
            <w:r w:rsidRPr="00A530B3">
              <w:rPr>
                <w:rFonts w:ascii="標楷體" w:hAnsi="標楷體" w:hint="eastAsia"/>
                <w:sz w:val="24"/>
              </w:rPr>
              <w:t>（三）主管機關、經費核撥機關於年度進行中，得訪查或抽查其運用派遣勞工之情形，如發現有不符經費用途、效益不彰、運用不當或其他未依相關規定辦理者，應促請其改善並依第一款規定檢討處理。另為瞭解各機關運用情形，除由勞動檢查法之主管機關實施勞動檢查外，本院人事行政總處亦得會同</w:t>
            </w:r>
            <w:r w:rsidRPr="00A530B3">
              <w:rPr>
                <w:rFonts w:ascii="標楷體" w:hAnsi="標楷體" w:hint="eastAsia"/>
                <w:sz w:val="24"/>
                <w:u w:val="single"/>
              </w:rPr>
              <w:t>勞動</w:t>
            </w:r>
            <w:r w:rsidRPr="00A530B3">
              <w:rPr>
                <w:rFonts w:ascii="標楷體" w:hAnsi="標楷體" w:hint="eastAsia"/>
                <w:sz w:val="24"/>
                <w:u w:val="single"/>
              </w:rPr>
              <w:lastRenderedPageBreak/>
              <w:t>部</w:t>
            </w:r>
            <w:r w:rsidRPr="00A530B3">
              <w:rPr>
                <w:rFonts w:ascii="標楷體" w:hAnsi="標楷體" w:hint="eastAsia"/>
                <w:sz w:val="24"/>
              </w:rPr>
              <w:t>、本院主計總處、本院公共工程委員會等相關機關進行訪查。</w:t>
            </w:r>
          </w:p>
        </w:tc>
        <w:tc>
          <w:tcPr>
            <w:tcW w:w="3119" w:type="dxa"/>
          </w:tcPr>
          <w:p w:rsidR="00FC2C42" w:rsidRPr="00A530B3" w:rsidRDefault="00FC2C42" w:rsidP="00403CEB">
            <w:pPr>
              <w:pStyle w:val="a8"/>
              <w:spacing w:line="420" w:lineRule="exact"/>
              <w:ind w:leftChars="40" w:left="662" w:hangingChars="236" w:hanging="566"/>
              <w:rPr>
                <w:sz w:val="24"/>
              </w:rPr>
            </w:pPr>
            <w:r w:rsidRPr="00A530B3">
              <w:rPr>
                <w:rFonts w:hint="eastAsia"/>
                <w:sz w:val="24"/>
              </w:rPr>
              <w:lastRenderedPageBreak/>
              <w:t>七、各機關有運用勞動派遣者，應依下列規定檢討評估：</w:t>
            </w:r>
          </w:p>
          <w:p w:rsidR="00FC2C42" w:rsidRPr="00A530B3" w:rsidRDefault="00FC2C42" w:rsidP="00403CEB">
            <w:pPr>
              <w:pStyle w:val="a3"/>
              <w:spacing w:line="420" w:lineRule="exact"/>
              <w:ind w:leftChars="100" w:left="960" w:hangingChars="300" w:hanging="720"/>
              <w:jc w:val="both"/>
              <w:rPr>
                <w:rFonts w:ascii="標楷體" w:hAnsi="標楷體"/>
                <w:sz w:val="24"/>
              </w:rPr>
            </w:pPr>
            <w:r w:rsidRPr="00A530B3">
              <w:rPr>
                <w:rFonts w:ascii="標楷體" w:hAnsi="標楷體" w:hint="eastAsia"/>
                <w:sz w:val="24"/>
              </w:rPr>
              <w:t>（一）各機關與派遣事業單位之要派契約到期後，應重新審視該項業務是否符合第三點第一項之範圍，並檢討評估賡續運用派遣勞工之必要性。</w:t>
            </w:r>
          </w:p>
          <w:p w:rsidR="00FC2C42" w:rsidRPr="00A530B3" w:rsidRDefault="00FC2C42" w:rsidP="00403CEB">
            <w:pPr>
              <w:pStyle w:val="a3"/>
              <w:spacing w:line="420" w:lineRule="exact"/>
              <w:ind w:leftChars="100" w:left="960" w:hangingChars="300" w:hanging="720"/>
              <w:jc w:val="both"/>
              <w:rPr>
                <w:rFonts w:ascii="標楷體" w:hAnsi="標楷體"/>
                <w:sz w:val="24"/>
              </w:rPr>
            </w:pPr>
            <w:r w:rsidRPr="00A530B3">
              <w:rPr>
                <w:rFonts w:ascii="標楷體" w:hAnsi="標楷體" w:hint="eastAsia"/>
                <w:sz w:val="24"/>
              </w:rPr>
              <w:t>（二）各機關應對負責運用勞動派遣業務相關承辦人員，加強勞動權益保障法令之訓練及實務個案經驗傳承，並提升各機關承辦人員勞動權益保障之專業知能。</w:t>
            </w:r>
          </w:p>
          <w:p w:rsidR="00FC2C42" w:rsidRPr="00A530B3" w:rsidRDefault="00FC2C42" w:rsidP="00403CEB">
            <w:pPr>
              <w:pStyle w:val="a3"/>
              <w:spacing w:line="420" w:lineRule="exact"/>
              <w:ind w:leftChars="100" w:left="960" w:hangingChars="300" w:hanging="720"/>
              <w:jc w:val="both"/>
              <w:rPr>
                <w:rFonts w:ascii="標楷體" w:hAnsi="標楷體"/>
                <w:sz w:val="24"/>
              </w:rPr>
            </w:pPr>
            <w:r w:rsidRPr="00A530B3">
              <w:rPr>
                <w:rFonts w:ascii="標楷體" w:hAnsi="標楷體" w:hint="eastAsia"/>
                <w:sz w:val="24"/>
              </w:rPr>
              <w:t>（三）主管機關、經費核撥機關於年度進行中，得訪查或抽查其運用派遣勞工之情形，如發現有不符經費用途、效益不彰、運用不當或其他未依相關規定辦理者，應促請其改善並依第一款規定檢討處理。另為瞭解各機關運用情形，除由勞動檢查法之主管機關實施勞動檢查外，本院人事行政總處亦得會同</w:t>
            </w:r>
            <w:r w:rsidRPr="00A530B3">
              <w:rPr>
                <w:rFonts w:ascii="標楷體" w:hAnsi="標楷體" w:hint="eastAsia"/>
                <w:sz w:val="24"/>
                <w:u w:val="single"/>
              </w:rPr>
              <w:t>本院勞</w:t>
            </w:r>
            <w:r w:rsidRPr="00A530B3">
              <w:rPr>
                <w:rFonts w:ascii="標楷體" w:hAnsi="標楷體" w:hint="eastAsia"/>
                <w:sz w:val="24"/>
                <w:u w:val="single"/>
              </w:rPr>
              <w:lastRenderedPageBreak/>
              <w:t>工委員會</w:t>
            </w:r>
            <w:r w:rsidRPr="00A530B3">
              <w:rPr>
                <w:rFonts w:ascii="標楷體" w:hAnsi="標楷體" w:hint="eastAsia"/>
                <w:sz w:val="24"/>
              </w:rPr>
              <w:t>、本院主計總處、本院公共工程委員會等相關機關進行訪查。</w:t>
            </w:r>
          </w:p>
        </w:tc>
        <w:tc>
          <w:tcPr>
            <w:tcW w:w="3119" w:type="dxa"/>
          </w:tcPr>
          <w:p w:rsidR="00FC2C42" w:rsidRPr="00A530B3" w:rsidRDefault="00FC2C42" w:rsidP="00403CEB">
            <w:pPr>
              <w:spacing w:line="420" w:lineRule="exact"/>
              <w:jc w:val="both"/>
              <w:rPr>
                <w:rFonts w:ascii="標楷體" w:eastAsia="標楷體" w:hAnsi="標楷體"/>
              </w:rPr>
            </w:pPr>
            <w:r w:rsidRPr="00A530B3">
              <w:rPr>
                <w:rFonts w:ascii="標楷體" w:eastAsia="標楷體" w:hAnsi="標楷體" w:hint="eastAsia"/>
              </w:rPr>
              <w:lastRenderedPageBreak/>
              <w:t>原行政院勞工委員會業於</w:t>
            </w:r>
            <w:r>
              <w:rPr>
                <w:rFonts w:ascii="標楷體" w:eastAsia="標楷體" w:hAnsi="標楷體" w:hint="eastAsia"/>
              </w:rPr>
              <w:t>一百零三</w:t>
            </w:r>
            <w:r w:rsidRPr="00A530B3">
              <w:rPr>
                <w:rFonts w:ascii="標楷體" w:eastAsia="標楷體" w:hAnsi="標楷體" w:hint="eastAsia"/>
              </w:rPr>
              <w:t>年</w:t>
            </w:r>
            <w:r>
              <w:rPr>
                <w:rFonts w:ascii="標楷體" w:eastAsia="標楷體" w:hAnsi="標楷體" w:hint="eastAsia"/>
              </w:rPr>
              <w:t>二</w:t>
            </w:r>
            <w:r w:rsidRPr="00A530B3">
              <w:rPr>
                <w:rFonts w:ascii="標楷體" w:eastAsia="標楷體" w:hAnsi="標楷體" w:hint="eastAsia"/>
              </w:rPr>
              <w:t>月</w:t>
            </w:r>
            <w:r>
              <w:rPr>
                <w:rFonts w:ascii="標楷體" w:eastAsia="標楷體" w:hAnsi="標楷體" w:hint="eastAsia"/>
              </w:rPr>
              <w:t>十七</w:t>
            </w:r>
            <w:r w:rsidRPr="00A530B3">
              <w:rPr>
                <w:rFonts w:ascii="標楷體" w:eastAsia="標楷體" w:hAnsi="標楷體" w:hint="eastAsia"/>
              </w:rPr>
              <w:t>日改制為勞動部，爰配合修正機關名稱。</w:t>
            </w:r>
          </w:p>
        </w:tc>
      </w:tr>
    </w:tbl>
    <w:p w:rsidR="00FC2C42" w:rsidRDefault="00FC2C42" w:rsidP="00FC2C42">
      <w:pPr>
        <w:pStyle w:val="a3"/>
        <w:jc w:val="both"/>
        <w:rPr>
          <w:rFonts w:ascii="標楷體" w:hAnsi="標楷體"/>
          <w:b/>
          <w:bCs/>
          <w:sz w:val="28"/>
          <w:szCs w:val="28"/>
        </w:rPr>
      </w:pPr>
    </w:p>
    <w:p w:rsidR="00FC2C42" w:rsidRPr="00A530B3" w:rsidRDefault="00FC2C42" w:rsidP="00FC2C42">
      <w:pPr>
        <w:pStyle w:val="a3"/>
        <w:jc w:val="both"/>
        <w:rPr>
          <w:rFonts w:ascii="標楷體" w:hAnsi="標楷體"/>
          <w:b/>
          <w:bCs/>
          <w:sz w:val="28"/>
          <w:szCs w:val="28"/>
        </w:rPr>
      </w:pPr>
    </w:p>
    <w:p w:rsidR="008C5475" w:rsidRPr="00FC2C42" w:rsidRDefault="008C5475"/>
    <w:sectPr w:rsidR="008C5475" w:rsidRPr="00FC2C42" w:rsidSect="00A530B3">
      <w:footerReference w:type="even" r:id="rId8"/>
      <w:footerReference w:type="default" r:id="rId9"/>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50" w:rsidRDefault="006B5350">
      <w:r>
        <w:separator/>
      </w:r>
    </w:p>
  </w:endnote>
  <w:endnote w:type="continuationSeparator" w:id="0">
    <w:p w:rsidR="006B5350" w:rsidRDefault="006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6E" w:rsidRDefault="00FC2C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7F6E" w:rsidRDefault="006B53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6E" w:rsidRDefault="00FC2C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7242">
      <w:rPr>
        <w:rStyle w:val="a7"/>
        <w:noProof/>
      </w:rPr>
      <w:t>1</w:t>
    </w:r>
    <w:r>
      <w:rPr>
        <w:rStyle w:val="a7"/>
      </w:rPr>
      <w:fldChar w:fldCharType="end"/>
    </w:r>
  </w:p>
  <w:p w:rsidR="00387F6E" w:rsidRDefault="006B53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50" w:rsidRDefault="006B5350">
      <w:r>
        <w:separator/>
      </w:r>
    </w:p>
  </w:footnote>
  <w:footnote w:type="continuationSeparator" w:id="0">
    <w:p w:rsidR="006B5350" w:rsidRDefault="006B5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67A76"/>
    <w:multiLevelType w:val="hybridMultilevel"/>
    <w:tmpl w:val="AFCCB02C"/>
    <w:lvl w:ilvl="0" w:tplc="1B0E347A">
      <w:start w:val="1"/>
      <w:numFmt w:val="taiwaneseCountingThousand"/>
      <w:lvlText w:val="（%1）"/>
      <w:lvlJc w:val="left"/>
      <w:pPr>
        <w:ind w:left="665" w:hanging="72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
    <w:nsid w:val="678D6C60"/>
    <w:multiLevelType w:val="hybridMultilevel"/>
    <w:tmpl w:val="9EF477EA"/>
    <w:lvl w:ilvl="0" w:tplc="1F0C51BA">
      <w:start w:val="1"/>
      <w:numFmt w:val="taiwaneseCountingThousand"/>
      <w:lvlText w:val="(%1)"/>
      <w:lvlJc w:val="left"/>
      <w:pPr>
        <w:ind w:left="720" w:hanging="720"/>
      </w:pPr>
      <w:rPr>
        <w:rFonts w:hint="default"/>
      </w:rPr>
    </w:lvl>
    <w:lvl w:ilvl="1" w:tplc="ECEE00E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42"/>
    <w:rsid w:val="000A7242"/>
    <w:rsid w:val="002B3F59"/>
    <w:rsid w:val="00323922"/>
    <w:rsid w:val="00452DA1"/>
    <w:rsid w:val="006B5350"/>
    <w:rsid w:val="006E6CBC"/>
    <w:rsid w:val="008C5475"/>
    <w:rsid w:val="00A20AB8"/>
    <w:rsid w:val="00F20FA2"/>
    <w:rsid w:val="00FC2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C2C42"/>
    <w:pPr>
      <w:adjustRightInd w:val="0"/>
      <w:snapToGrid w:val="0"/>
      <w:spacing w:line="500" w:lineRule="exact"/>
    </w:pPr>
    <w:rPr>
      <w:rFonts w:eastAsia="標楷體"/>
      <w:sz w:val="36"/>
    </w:rPr>
  </w:style>
  <w:style w:type="character" w:customStyle="1" w:styleId="a4">
    <w:name w:val="本文 字元"/>
    <w:basedOn w:val="a0"/>
    <w:link w:val="a3"/>
    <w:semiHidden/>
    <w:rsid w:val="00FC2C42"/>
    <w:rPr>
      <w:rFonts w:ascii="Times New Roman" w:eastAsia="標楷體" w:hAnsi="Times New Roman" w:cs="Times New Roman"/>
      <w:sz w:val="36"/>
      <w:szCs w:val="24"/>
    </w:rPr>
  </w:style>
  <w:style w:type="paragraph" w:styleId="2">
    <w:name w:val="Body Text 2"/>
    <w:basedOn w:val="a"/>
    <w:link w:val="20"/>
    <w:semiHidden/>
    <w:rsid w:val="00FC2C42"/>
    <w:pPr>
      <w:adjustRightInd w:val="0"/>
      <w:snapToGrid w:val="0"/>
      <w:spacing w:line="500" w:lineRule="exact"/>
    </w:pPr>
    <w:rPr>
      <w:rFonts w:eastAsia="標楷體"/>
      <w:sz w:val="32"/>
    </w:rPr>
  </w:style>
  <w:style w:type="character" w:customStyle="1" w:styleId="20">
    <w:name w:val="本文 2 字元"/>
    <w:basedOn w:val="a0"/>
    <w:link w:val="2"/>
    <w:semiHidden/>
    <w:rsid w:val="00FC2C42"/>
    <w:rPr>
      <w:rFonts w:ascii="Times New Roman" w:eastAsia="標楷體" w:hAnsi="Times New Roman" w:cs="Times New Roman"/>
      <w:sz w:val="32"/>
      <w:szCs w:val="24"/>
    </w:rPr>
  </w:style>
  <w:style w:type="paragraph" w:styleId="a5">
    <w:name w:val="footer"/>
    <w:basedOn w:val="a"/>
    <w:link w:val="a6"/>
    <w:semiHidden/>
    <w:rsid w:val="00FC2C42"/>
    <w:pPr>
      <w:tabs>
        <w:tab w:val="center" w:pos="4153"/>
        <w:tab w:val="right" w:pos="8306"/>
      </w:tabs>
      <w:snapToGrid w:val="0"/>
    </w:pPr>
    <w:rPr>
      <w:sz w:val="20"/>
      <w:szCs w:val="20"/>
    </w:rPr>
  </w:style>
  <w:style w:type="character" w:customStyle="1" w:styleId="a6">
    <w:name w:val="頁尾 字元"/>
    <w:basedOn w:val="a0"/>
    <w:link w:val="a5"/>
    <w:semiHidden/>
    <w:rsid w:val="00FC2C42"/>
    <w:rPr>
      <w:rFonts w:ascii="Times New Roman" w:eastAsia="新細明體" w:hAnsi="Times New Roman" w:cs="Times New Roman"/>
      <w:sz w:val="20"/>
      <w:szCs w:val="20"/>
    </w:rPr>
  </w:style>
  <w:style w:type="character" w:styleId="a7">
    <w:name w:val="page number"/>
    <w:basedOn w:val="a0"/>
    <w:semiHidden/>
    <w:rsid w:val="00FC2C42"/>
  </w:style>
  <w:style w:type="paragraph" w:styleId="a8">
    <w:name w:val="Body Text Indent"/>
    <w:basedOn w:val="a"/>
    <w:link w:val="a9"/>
    <w:semiHidden/>
    <w:rsid w:val="00FC2C42"/>
    <w:pPr>
      <w:adjustRightInd w:val="0"/>
      <w:snapToGrid w:val="0"/>
      <w:spacing w:line="500" w:lineRule="exact"/>
      <w:ind w:leftChars="199" w:left="1438" w:hangingChars="300" w:hanging="960"/>
      <w:jc w:val="both"/>
    </w:pPr>
    <w:rPr>
      <w:rFonts w:eastAsia="標楷體"/>
      <w:sz w:val="32"/>
    </w:rPr>
  </w:style>
  <w:style w:type="character" w:customStyle="1" w:styleId="a9">
    <w:name w:val="本文縮排 字元"/>
    <w:basedOn w:val="a0"/>
    <w:link w:val="a8"/>
    <w:semiHidden/>
    <w:rsid w:val="00FC2C42"/>
    <w:rPr>
      <w:rFonts w:ascii="Times New Roman" w:eastAsia="標楷體" w:hAnsi="Times New Roman" w:cs="Times New Roman"/>
      <w:sz w:val="32"/>
      <w:szCs w:val="24"/>
    </w:rPr>
  </w:style>
  <w:style w:type="paragraph" w:styleId="21">
    <w:name w:val="Body Text Indent 2"/>
    <w:basedOn w:val="a"/>
    <w:link w:val="22"/>
    <w:uiPriority w:val="99"/>
    <w:unhideWhenUsed/>
    <w:rsid w:val="00FC2C42"/>
    <w:pPr>
      <w:spacing w:after="120" w:line="480" w:lineRule="auto"/>
      <w:ind w:leftChars="200" w:left="480"/>
    </w:pPr>
  </w:style>
  <w:style w:type="character" w:customStyle="1" w:styleId="22">
    <w:name w:val="本文縮排 2 字元"/>
    <w:basedOn w:val="a0"/>
    <w:link w:val="21"/>
    <w:uiPriority w:val="99"/>
    <w:rsid w:val="00FC2C42"/>
    <w:rPr>
      <w:rFonts w:ascii="Times New Roman" w:eastAsia="新細明體" w:hAnsi="Times New Roman" w:cs="Times New Roman"/>
      <w:szCs w:val="24"/>
    </w:rPr>
  </w:style>
  <w:style w:type="paragraph" w:styleId="aa">
    <w:name w:val="header"/>
    <w:basedOn w:val="a"/>
    <w:link w:val="ab"/>
    <w:uiPriority w:val="99"/>
    <w:unhideWhenUsed/>
    <w:rsid w:val="006E6CBC"/>
    <w:pPr>
      <w:tabs>
        <w:tab w:val="center" w:pos="4153"/>
        <w:tab w:val="right" w:pos="8306"/>
      </w:tabs>
      <w:snapToGrid w:val="0"/>
    </w:pPr>
    <w:rPr>
      <w:sz w:val="20"/>
      <w:szCs w:val="20"/>
    </w:rPr>
  </w:style>
  <w:style w:type="character" w:customStyle="1" w:styleId="ab">
    <w:name w:val="頁首 字元"/>
    <w:basedOn w:val="a0"/>
    <w:link w:val="aa"/>
    <w:uiPriority w:val="99"/>
    <w:rsid w:val="006E6CB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C2C42"/>
    <w:pPr>
      <w:adjustRightInd w:val="0"/>
      <w:snapToGrid w:val="0"/>
      <w:spacing w:line="500" w:lineRule="exact"/>
    </w:pPr>
    <w:rPr>
      <w:rFonts w:eastAsia="標楷體"/>
      <w:sz w:val="36"/>
    </w:rPr>
  </w:style>
  <w:style w:type="character" w:customStyle="1" w:styleId="a4">
    <w:name w:val="本文 字元"/>
    <w:basedOn w:val="a0"/>
    <w:link w:val="a3"/>
    <w:semiHidden/>
    <w:rsid w:val="00FC2C42"/>
    <w:rPr>
      <w:rFonts w:ascii="Times New Roman" w:eastAsia="標楷體" w:hAnsi="Times New Roman" w:cs="Times New Roman"/>
      <w:sz w:val="36"/>
      <w:szCs w:val="24"/>
    </w:rPr>
  </w:style>
  <w:style w:type="paragraph" w:styleId="2">
    <w:name w:val="Body Text 2"/>
    <w:basedOn w:val="a"/>
    <w:link w:val="20"/>
    <w:semiHidden/>
    <w:rsid w:val="00FC2C42"/>
    <w:pPr>
      <w:adjustRightInd w:val="0"/>
      <w:snapToGrid w:val="0"/>
      <w:spacing w:line="500" w:lineRule="exact"/>
    </w:pPr>
    <w:rPr>
      <w:rFonts w:eastAsia="標楷體"/>
      <w:sz w:val="32"/>
    </w:rPr>
  </w:style>
  <w:style w:type="character" w:customStyle="1" w:styleId="20">
    <w:name w:val="本文 2 字元"/>
    <w:basedOn w:val="a0"/>
    <w:link w:val="2"/>
    <w:semiHidden/>
    <w:rsid w:val="00FC2C42"/>
    <w:rPr>
      <w:rFonts w:ascii="Times New Roman" w:eastAsia="標楷體" w:hAnsi="Times New Roman" w:cs="Times New Roman"/>
      <w:sz w:val="32"/>
      <w:szCs w:val="24"/>
    </w:rPr>
  </w:style>
  <w:style w:type="paragraph" w:styleId="a5">
    <w:name w:val="footer"/>
    <w:basedOn w:val="a"/>
    <w:link w:val="a6"/>
    <w:semiHidden/>
    <w:rsid w:val="00FC2C42"/>
    <w:pPr>
      <w:tabs>
        <w:tab w:val="center" w:pos="4153"/>
        <w:tab w:val="right" w:pos="8306"/>
      </w:tabs>
      <w:snapToGrid w:val="0"/>
    </w:pPr>
    <w:rPr>
      <w:sz w:val="20"/>
      <w:szCs w:val="20"/>
    </w:rPr>
  </w:style>
  <w:style w:type="character" w:customStyle="1" w:styleId="a6">
    <w:name w:val="頁尾 字元"/>
    <w:basedOn w:val="a0"/>
    <w:link w:val="a5"/>
    <w:semiHidden/>
    <w:rsid w:val="00FC2C42"/>
    <w:rPr>
      <w:rFonts w:ascii="Times New Roman" w:eastAsia="新細明體" w:hAnsi="Times New Roman" w:cs="Times New Roman"/>
      <w:sz w:val="20"/>
      <w:szCs w:val="20"/>
    </w:rPr>
  </w:style>
  <w:style w:type="character" w:styleId="a7">
    <w:name w:val="page number"/>
    <w:basedOn w:val="a0"/>
    <w:semiHidden/>
    <w:rsid w:val="00FC2C42"/>
  </w:style>
  <w:style w:type="paragraph" w:styleId="a8">
    <w:name w:val="Body Text Indent"/>
    <w:basedOn w:val="a"/>
    <w:link w:val="a9"/>
    <w:semiHidden/>
    <w:rsid w:val="00FC2C42"/>
    <w:pPr>
      <w:adjustRightInd w:val="0"/>
      <w:snapToGrid w:val="0"/>
      <w:spacing w:line="500" w:lineRule="exact"/>
      <w:ind w:leftChars="199" w:left="1438" w:hangingChars="300" w:hanging="960"/>
      <w:jc w:val="both"/>
    </w:pPr>
    <w:rPr>
      <w:rFonts w:eastAsia="標楷體"/>
      <w:sz w:val="32"/>
    </w:rPr>
  </w:style>
  <w:style w:type="character" w:customStyle="1" w:styleId="a9">
    <w:name w:val="本文縮排 字元"/>
    <w:basedOn w:val="a0"/>
    <w:link w:val="a8"/>
    <w:semiHidden/>
    <w:rsid w:val="00FC2C42"/>
    <w:rPr>
      <w:rFonts w:ascii="Times New Roman" w:eastAsia="標楷體" w:hAnsi="Times New Roman" w:cs="Times New Roman"/>
      <w:sz w:val="32"/>
      <w:szCs w:val="24"/>
    </w:rPr>
  </w:style>
  <w:style w:type="paragraph" w:styleId="21">
    <w:name w:val="Body Text Indent 2"/>
    <w:basedOn w:val="a"/>
    <w:link w:val="22"/>
    <w:uiPriority w:val="99"/>
    <w:unhideWhenUsed/>
    <w:rsid w:val="00FC2C42"/>
    <w:pPr>
      <w:spacing w:after="120" w:line="480" w:lineRule="auto"/>
      <w:ind w:leftChars="200" w:left="480"/>
    </w:pPr>
  </w:style>
  <w:style w:type="character" w:customStyle="1" w:styleId="22">
    <w:name w:val="本文縮排 2 字元"/>
    <w:basedOn w:val="a0"/>
    <w:link w:val="21"/>
    <w:uiPriority w:val="99"/>
    <w:rsid w:val="00FC2C42"/>
    <w:rPr>
      <w:rFonts w:ascii="Times New Roman" w:eastAsia="新細明體" w:hAnsi="Times New Roman" w:cs="Times New Roman"/>
      <w:szCs w:val="24"/>
    </w:rPr>
  </w:style>
  <w:style w:type="paragraph" w:styleId="aa">
    <w:name w:val="header"/>
    <w:basedOn w:val="a"/>
    <w:link w:val="ab"/>
    <w:uiPriority w:val="99"/>
    <w:unhideWhenUsed/>
    <w:rsid w:val="006E6CBC"/>
    <w:pPr>
      <w:tabs>
        <w:tab w:val="center" w:pos="4153"/>
        <w:tab w:val="right" w:pos="8306"/>
      </w:tabs>
      <w:snapToGrid w:val="0"/>
    </w:pPr>
    <w:rPr>
      <w:sz w:val="20"/>
      <w:szCs w:val="20"/>
    </w:rPr>
  </w:style>
  <w:style w:type="character" w:customStyle="1" w:styleId="ab">
    <w:name w:val="頁首 字元"/>
    <w:basedOn w:val="a0"/>
    <w:link w:val="aa"/>
    <w:uiPriority w:val="99"/>
    <w:rsid w:val="006E6CB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黃繹修</dc:creator>
  <cp:lastModifiedBy>user</cp:lastModifiedBy>
  <cp:revision>2</cp:revision>
  <dcterms:created xsi:type="dcterms:W3CDTF">2014-06-16T05:55:00Z</dcterms:created>
  <dcterms:modified xsi:type="dcterms:W3CDTF">2014-06-16T05:55:00Z</dcterms:modified>
</cp:coreProperties>
</file>