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46E" w:rsidRPr="00625F9B" w:rsidRDefault="008954F4" w:rsidP="00B15200">
      <w:pPr>
        <w:spacing w:line="500" w:lineRule="exact"/>
        <w:ind w:rightChars="-24" w:right="-58"/>
        <w:rPr>
          <w:rFonts w:ascii="標楷體" w:eastAsia="標楷體" w:hAnsi="標楷體"/>
          <w:sz w:val="40"/>
          <w:szCs w:val="40"/>
        </w:rPr>
      </w:pPr>
      <w:r w:rsidRPr="00625F9B">
        <w:rPr>
          <w:rFonts w:ascii="標楷體" w:eastAsia="標楷體" w:hAnsi="標楷體" w:hint="eastAsia"/>
          <w:sz w:val="40"/>
          <w:szCs w:val="40"/>
        </w:rPr>
        <w:t>政府機關及公民營機構科技人才相互支援實施要點</w:t>
      </w:r>
      <w:r w:rsidR="00BC0653" w:rsidRPr="00625F9B">
        <w:rPr>
          <w:rFonts w:ascii="標楷體" w:eastAsia="標楷體" w:hAnsi="標楷體" w:hint="eastAsia"/>
          <w:sz w:val="40"/>
          <w:szCs w:val="40"/>
        </w:rPr>
        <w:t>第四點</w:t>
      </w:r>
      <w:bookmarkStart w:id="0" w:name="_GoBack"/>
      <w:r w:rsidR="00A6111B" w:rsidRPr="00625F9B">
        <w:rPr>
          <w:rFonts w:ascii="標楷體" w:eastAsia="標楷體" w:hAnsi="標楷體" w:hint="eastAsia"/>
          <w:sz w:val="40"/>
          <w:szCs w:val="40"/>
        </w:rPr>
        <w:t>修正對照表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9"/>
        <w:gridCol w:w="2778"/>
        <w:gridCol w:w="2805"/>
      </w:tblGrid>
      <w:tr w:rsidR="00A6111B" w:rsidRPr="00A6111B" w:rsidTr="00D36B52">
        <w:trPr>
          <w:trHeight w:val="540"/>
        </w:trPr>
        <w:tc>
          <w:tcPr>
            <w:tcW w:w="2779" w:type="dxa"/>
            <w:vAlign w:val="center"/>
          </w:tcPr>
          <w:p w:rsidR="00A6111B" w:rsidRPr="00A6111B" w:rsidRDefault="00A6111B" w:rsidP="00A6111B">
            <w:pPr>
              <w:spacing w:line="420" w:lineRule="exact"/>
              <w:ind w:left="480" w:hangingChars="200" w:hanging="480"/>
              <w:jc w:val="distribute"/>
              <w:rPr>
                <w:rFonts w:ascii="標楷體" w:eastAsia="標楷體" w:hAnsi="標楷體" w:cs="Times New Roman"/>
                <w:b/>
                <w:szCs w:val="24"/>
              </w:rPr>
            </w:pPr>
            <w:r w:rsidRPr="00A6111B">
              <w:rPr>
                <w:rFonts w:ascii="標楷體" w:eastAsia="標楷體" w:hAnsi="標楷體" w:cs="Times New Roman" w:hint="eastAsia"/>
                <w:b/>
                <w:szCs w:val="24"/>
              </w:rPr>
              <w:t>修正規定</w:t>
            </w:r>
          </w:p>
        </w:tc>
        <w:tc>
          <w:tcPr>
            <w:tcW w:w="2778" w:type="dxa"/>
            <w:vAlign w:val="center"/>
          </w:tcPr>
          <w:p w:rsidR="00A6111B" w:rsidRPr="00A6111B" w:rsidRDefault="00A6111B" w:rsidP="00A6111B">
            <w:pPr>
              <w:spacing w:line="420" w:lineRule="exact"/>
              <w:ind w:left="480" w:hangingChars="200" w:hanging="480"/>
              <w:jc w:val="distribute"/>
              <w:rPr>
                <w:rFonts w:ascii="標楷體" w:eastAsia="標楷體" w:hAnsi="標楷體" w:cs="Times New Roman"/>
                <w:b/>
                <w:szCs w:val="24"/>
              </w:rPr>
            </w:pPr>
            <w:r w:rsidRPr="00A6111B">
              <w:rPr>
                <w:rFonts w:ascii="標楷體" w:eastAsia="標楷體" w:hAnsi="標楷體" w:cs="Times New Roman" w:hint="eastAsia"/>
                <w:b/>
                <w:szCs w:val="24"/>
              </w:rPr>
              <w:t>現行規定</w:t>
            </w:r>
          </w:p>
        </w:tc>
        <w:tc>
          <w:tcPr>
            <w:tcW w:w="2805" w:type="dxa"/>
            <w:vAlign w:val="center"/>
          </w:tcPr>
          <w:p w:rsidR="00A6111B" w:rsidRPr="00A6111B" w:rsidRDefault="00A6111B" w:rsidP="00A6111B">
            <w:pPr>
              <w:spacing w:line="420" w:lineRule="exact"/>
              <w:ind w:left="480" w:hangingChars="200" w:hanging="480"/>
              <w:jc w:val="distribute"/>
              <w:rPr>
                <w:rFonts w:ascii="標楷體" w:eastAsia="標楷體" w:hAnsi="標楷體" w:cs="Times New Roman"/>
                <w:b/>
                <w:szCs w:val="24"/>
              </w:rPr>
            </w:pPr>
            <w:r w:rsidRPr="00A6111B">
              <w:rPr>
                <w:rFonts w:ascii="標楷體" w:eastAsia="標楷體" w:hAnsi="標楷體" w:cs="Times New Roman" w:hint="eastAsia"/>
                <w:b/>
                <w:szCs w:val="24"/>
              </w:rPr>
              <w:t>說明</w:t>
            </w:r>
          </w:p>
        </w:tc>
      </w:tr>
      <w:tr w:rsidR="003C6ABE" w:rsidRPr="00A6111B" w:rsidTr="00D36B52">
        <w:trPr>
          <w:trHeight w:val="540"/>
        </w:trPr>
        <w:tc>
          <w:tcPr>
            <w:tcW w:w="2779" w:type="dxa"/>
          </w:tcPr>
          <w:p w:rsidR="008954F4" w:rsidRPr="00764F68" w:rsidRDefault="003C6ABE" w:rsidP="0050772B">
            <w:pPr>
              <w:spacing w:line="420" w:lineRule="exact"/>
              <w:ind w:left="504" w:hangingChars="210" w:hanging="50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64F68">
              <w:rPr>
                <w:rFonts w:ascii="標楷體" w:eastAsia="標楷體" w:hAnsi="標楷體" w:cs="Times New Roman" w:hint="eastAsia"/>
                <w:szCs w:val="24"/>
              </w:rPr>
              <w:t>四、</w:t>
            </w:r>
            <w:r w:rsidR="008954F4" w:rsidRPr="00764F68">
              <w:rPr>
                <w:rFonts w:ascii="標楷體" w:eastAsia="標楷體" w:hAnsi="標楷體" w:cs="Times New Roman" w:hint="eastAsia"/>
                <w:szCs w:val="24"/>
              </w:rPr>
              <w:t>相互支援科技人才之人事管理，規定如下：</w:t>
            </w:r>
          </w:p>
          <w:p w:rsidR="008954F4" w:rsidRPr="00764F68" w:rsidRDefault="008954F4" w:rsidP="0050772B">
            <w:pPr>
              <w:spacing w:line="420" w:lineRule="exact"/>
              <w:ind w:left="756" w:hangingChars="315" w:hanging="75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64F68">
              <w:rPr>
                <w:rFonts w:ascii="標楷體" w:eastAsia="標楷體" w:hAnsi="標楷體" w:cs="Times New Roman" w:hint="eastAsia"/>
                <w:szCs w:val="24"/>
              </w:rPr>
              <w:t>（一）</w:t>
            </w:r>
            <w:proofErr w:type="gramStart"/>
            <w:r w:rsidRPr="00764F68">
              <w:rPr>
                <w:rFonts w:ascii="標楷體" w:eastAsia="標楷體" w:hAnsi="標楷體" w:cs="Times New Roman" w:hint="eastAsia"/>
                <w:szCs w:val="24"/>
              </w:rPr>
              <w:t>採</w:t>
            </w:r>
            <w:proofErr w:type="gramEnd"/>
            <w:r w:rsidRPr="00764F68">
              <w:rPr>
                <w:rFonts w:ascii="標楷體" w:eastAsia="標楷體" w:hAnsi="標楷體" w:cs="Times New Roman" w:hint="eastAsia"/>
                <w:szCs w:val="24"/>
              </w:rPr>
              <w:t>轉任方式者（以下簡稱轉任人員）：</w:t>
            </w:r>
          </w:p>
          <w:p w:rsidR="008954F4" w:rsidRPr="00764F68" w:rsidRDefault="008954F4" w:rsidP="0050772B">
            <w:pPr>
              <w:spacing w:line="420" w:lineRule="exact"/>
              <w:ind w:leftChars="313" w:left="756" w:hangingChars="2" w:hanging="5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764F68">
              <w:rPr>
                <w:rFonts w:ascii="標楷體" w:eastAsia="標楷體" w:hAnsi="標楷體" w:cs="Times New Roman" w:hint="eastAsia"/>
                <w:szCs w:val="24"/>
              </w:rPr>
              <w:t>依轉任</w:t>
            </w:r>
            <w:proofErr w:type="gramEnd"/>
            <w:r w:rsidRPr="00764F68">
              <w:rPr>
                <w:rFonts w:ascii="標楷體" w:eastAsia="標楷體" w:hAnsi="標楷體" w:cs="Times New Roman" w:hint="eastAsia"/>
                <w:szCs w:val="24"/>
              </w:rPr>
              <w:t>機關（構）人事管理規章之規定，其由民營機構轉任政府機關職務時，具有資格者，依法轉任。未具資格者，依聘用人員聘用條例或主管機關訂定有關聘用之規定予以聘用；其聘用員額，以不超過各該機關（構）預算總人數百分之五為限，並依規定程序陳報權責機關核准。如有超過百分之五限額之必要時，應專案報行政院核准。</w:t>
            </w:r>
          </w:p>
          <w:p w:rsidR="008954F4" w:rsidRPr="00764F68" w:rsidRDefault="008954F4" w:rsidP="0050772B">
            <w:pPr>
              <w:spacing w:line="420" w:lineRule="exact"/>
              <w:ind w:left="756" w:hangingChars="315" w:hanging="75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64F68">
              <w:rPr>
                <w:rFonts w:ascii="標楷體" w:eastAsia="標楷體" w:hAnsi="標楷體" w:cs="Times New Roman" w:hint="eastAsia"/>
                <w:szCs w:val="24"/>
              </w:rPr>
              <w:t>（二）</w:t>
            </w:r>
            <w:proofErr w:type="gramStart"/>
            <w:r w:rsidRPr="00764F68">
              <w:rPr>
                <w:rFonts w:ascii="標楷體" w:eastAsia="標楷體" w:hAnsi="標楷體" w:cs="Times New Roman" w:hint="eastAsia"/>
                <w:szCs w:val="24"/>
              </w:rPr>
              <w:t>採</w:t>
            </w:r>
            <w:proofErr w:type="gramEnd"/>
            <w:r w:rsidRPr="00764F68">
              <w:rPr>
                <w:rFonts w:ascii="標楷體" w:eastAsia="標楷體" w:hAnsi="標楷體" w:cs="Times New Roman" w:hint="eastAsia"/>
                <w:szCs w:val="24"/>
              </w:rPr>
              <w:t>借調方式者（以下簡稱借調人員）：</w:t>
            </w:r>
          </w:p>
          <w:p w:rsidR="008954F4" w:rsidRPr="00764F68" w:rsidRDefault="008954F4" w:rsidP="0050772B">
            <w:pPr>
              <w:spacing w:line="420" w:lineRule="exact"/>
              <w:ind w:leftChars="322" w:left="1049" w:hangingChars="115" w:hanging="27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64F68">
              <w:rPr>
                <w:rFonts w:ascii="標楷體" w:eastAsia="標楷體" w:hAnsi="標楷體" w:cs="Times New Roman" w:hint="eastAsia"/>
                <w:szCs w:val="24"/>
              </w:rPr>
              <w:t>1、政府機關或公營</w:t>
            </w:r>
            <w:r w:rsidRPr="00764F68">
              <w:rPr>
                <w:rFonts w:ascii="標楷體" w:eastAsia="標楷體" w:hAnsi="標楷體" w:cs="Times New Roman" w:hint="eastAsia"/>
                <w:szCs w:val="24"/>
              </w:rPr>
              <w:lastRenderedPageBreak/>
              <w:t>機構之科技人才借調至民營機構者，依公務人員留職停薪辦法規定辦理留職停薪，並以非主管人員為原則；其有必要借調主管人員，且借調（含續借）期間超過六個月者，得先調任非主管後再行外借。</w:t>
            </w:r>
          </w:p>
          <w:p w:rsidR="00134496" w:rsidRDefault="008954F4" w:rsidP="0050772B">
            <w:pPr>
              <w:spacing w:line="420" w:lineRule="exact"/>
              <w:ind w:leftChars="326" w:left="1048" w:hangingChars="111" w:hanging="266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764F68">
              <w:rPr>
                <w:rFonts w:ascii="標楷體" w:eastAsia="標楷體" w:hAnsi="標楷體" w:cs="Times New Roman" w:hint="eastAsia"/>
                <w:szCs w:val="24"/>
              </w:rPr>
              <w:t>2、民營機構科技人才借調至政府機關或公營機構者，其借調</w:t>
            </w:r>
            <w:proofErr w:type="gramStart"/>
            <w:r w:rsidRPr="00764F68">
              <w:rPr>
                <w:rFonts w:ascii="標楷體" w:eastAsia="標楷體" w:hAnsi="標楷體" w:cs="Times New Roman" w:hint="eastAsia"/>
                <w:szCs w:val="24"/>
              </w:rPr>
              <w:t>期間，</w:t>
            </w:r>
            <w:proofErr w:type="gramEnd"/>
            <w:r w:rsidRPr="00764F68">
              <w:rPr>
                <w:rFonts w:ascii="標楷體" w:eastAsia="標楷體" w:hAnsi="標楷體" w:cs="Times New Roman" w:hint="eastAsia"/>
                <w:szCs w:val="24"/>
              </w:rPr>
              <w:t>以二年為限，</w:t>
            </w:r>
            <w:r w:rsidR="007F3138">
              <w:rPr>
                <w:rFonts w:ascii="標楷體" w:eastAsia="標楷體" w:hAnsi="標楷體" w:cs="Times New Roman" w:hint="eastAsia"/>
                <w:szCs w:val="24"/>
                <w:u w:val="single"/>
              </w:rPr>
              <w:t>並得</w:t>
            </w:r>
            <w:r w:rsidR="00BD47B1">
              <w:rPr>
                <w:rFonts w:ascii="標楷體" w:eastAsia="標楷體" w:hAnsi="標楷體" w:cs="Times New Roman" w:hint="eastAsia"/>
                <w:szCs w:val="24"/>
                <w:u w:val="single"/>
              </w:rPr>
              <w:t>延長二年。但有業務需要，且</w:t>
            </w:r>
            <w:r w:rsidRPr="00764F68">
              <w:rPr>
                <w:rFonts w:ascii="標楷體" w:eastAsia="標楷體" w:hAnsi="標楷體" w:cs="Times New Roman" w:hint="eastAsia"/>
                <w:szCs w:val="24"/>
                <w:u w:val="single"/>
              </w:rPr>
              <w:t>借調</w:t>
            </w:r>
            <w:r w:rsidR="00021049">
              <w:rPr>
                <w:rFonts w:ascii="標楷體" w:eastAsia="標楷體" w:hAnsi="標楷體" w:cs="Times New Roman" w:hint="eastAsia"/>
                <w:szCs w:val="24"/>
                <w:u w:val="single"/>
              </w:rPr>
              <w:t>辦理相當主管職務工作者，</w:t>
            </w:r>
            <w:r w:rsidRPr="00764F68">
              <w:rPr>
                <w:rFonts w:ascii="標楷體" w:eastAsia="標楷體" w:hAnsi="標楷體" w:cs="Times New Roman" w:hint="eastAsia"/>
                <w:szCs w:val="24"/>
                <w:u w:val="single"/>
              </w:rPr>
              <w:t>得再延長二年。</w:t>
            </w:r>
          </w:p>
          <w:p w:rsidR="008954F4" w:rsidRPr="00764F68" w:rsidRDefault="00134496" w:rsidP="0050772B">
            <w:pPr>
              <w:spacing w:line="420" w:lineRule="exact"/>
              <w:ind w:leftChars="326" w:left="1048" w:hangingChars="111" w:hanging="26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4496">
              <w:rPr>
                <w:rFonts w:ascii="標楷體" w:eastAsia="標楷體" w:hAnsi="標楷體" w:cs="Times New Roman" w:hint="eastAsia"/>
                <w:szCs w:val="24"/>
              </w:rPr>
              <w:t>3、</w:t>
            </w:r>
            <w:proofErr w:type="gramStart"/>
            <w:r w:rsidRPr="00134496">
              <w:rPr>
                <w:rFonts w:ascii="標楷體" w:eastAsia="標楷體" w:hAnsi="標楷體" w:cs="Times New Roman" w:hint="eastAsia"/>
                <w:szCs w:val="24"/>
                <w:u w:val="single"/>
              </w:rPr>
              <w:t>前目借調</w:t>
            </w:r>
            <w:proofErr w:type="gramEnd"/>
            <w:r w:rsidRPr="00134496">
              <w:rPr>
                <w:rFonts w:ascii="標楷體" w:eastAsia="標楷體" w:hAnsi="標楷體" w:cs="Times New Roman" w:hint="eastAsia"/>
                <w:szCs w:val="24"/>
                <w:u w:val="single"/>
              </w:rPr>
              <w:t>人員，借調期滿即行歸建，不得再辦理借調。</w:t>
            </w:r>
          </w:p>
          <w:p w:rsidR="008954F4" w:rsidRPr="00764F68" w:rsidRDefault="00134496" w:rsidP="008954F4">
            <w:pPr>
              <w:spacing w:line="420" w:lineRule="exact"/>
              <w:ind w:firstLineChars="315" w:firstLine="75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C2BC9">
              <w:rPr>
                <w:rFonts w:ascii="標楷體" w:eastAsia="標楷體" w:hAnsi="標楷體" w:cs="Times New Roman" w:hint="eastAsia"/>
                <w:szCs w:val="24"/>
                <w:u w:val="single"/>
              </w:rPr>
              <w:t>4</w:t>
            </w:r>
            <w:r w:rsidR="008954F4" w:rsidRPr="00FC2BC9">
              <w:rPr>
                <w:rFonts w:ascii="標楷體" w:eastAsia="標楷體" w:hAnsi="標楷體" w:cs="Times New Roman" w:hint="eastAsia"/>
                <w:szCs w:val="24"/>
                <w:u w:val="single"/>
              </w:rPr>
              <w:t>、</w:t>
            </w:r>
            <w:r w:rsidR="008954F4" w:rsidRPr="00764F68">
              <w:rPr>
                <w:rFonts w:ascii="標楷體" w:eastAsia="標楷體" w:hAnsi="標楷體" w:cs="Times New Roman" w:hint="eastAsia"/>
                <w:szCs w:val="24"/>
              </w:rPr>
              <w:t>薪資：</w:t>
            </w:r>
          </w:p>
          <w:p w:rsidR="008954F4" w:rsidRPr="00764F68" w:rsidRDefault="008954F4" w:rsidP="0050772B">
            <w:pPr>
              <w:spacing w:line="420" w:lineRule="exact"/>
              <w:ind w:leftChars="437" w:left="1452" w:hangingChars="168" w:hanging="403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64F68">
              <w:rPr>
                <w:rFonts w:ascii="標楷體" w:eastAsia="標楷體" w:hAnsi="標楷體" w:cs="Times New Roman" w:hint="eastAsia"/>
                <w:szCs w:val="24"/>
              </w:rPr>
              <w:t>(1)</w:t>
            </w:r>
            <w:r w:rsidRPr="00764F68">
              <w:rPr>
                <w:rFonts w:ascii="標楷體" w:eastAsia="標楷體" w:hAnsi="標楷體" w:cs="Times New Roman" w:hint="eastAsia"/>
                <w:szCs w:val="24"/>
              </w:rPr>
              <w:tab/>
              <w:t>政府機關或公營機構科技人才借調</w:t>
            </w:r>
            <w:r w:rsidRPr="00764F68">
              <w:rPr>
                <w:rFonts w:ascii="標楷體" w:eastAsia="標楷體" w:hAnsi="標楷體" w:cs="Times New Roman" w:hint="eastAsia"/>
                <w:szCs w:val="24"/>
              </w:rPr>
              <w:lastRenderedPageBreak/>
              <w:t>至民營機構者，在借調機構支薪。</w:t>
            </w:r>
          </w:p>
          <w:p w:rsidR="008954F4" w:rsidRPr="00764F68" w:rsidRDefault="008954F4" w:rsidP="0050772B">
            <w:pPr>
              <w:spacing w:line="420" w:lineRule="exact"/>
              <w:ind w:leftChars="430" w:left="1454" w:hangingChars="176" w:hanging="42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64F68">
              <w:rPr>
                <w:rFonts w:ascii="標楷體" w:eastAsia="標楷體" w:hAnsi="標楷體" w:cs="Times New Roman" w:hint="eastAsia"/>
                <w:szCs w:val="24"/>
              </w:rPr>
              <w:t>(2)</w:t>
            </w:r>
            <w:r w:rsidRPr="00764F68">
              <w:rPr>
                <w:rFonts w:ascii="標楷體" w:eastAsia="標楷體" w:hAnsi="標楷體" w:cs="Times New Roman" w:hint="eastAsia"/>
                <w:szCs w:val="24"/>
              </w:rPr>
              <w:tab/>
              <w:t>民營機構科技人才借調至政府機關或公營機構者，得由借調機關（構）比照聘用人員所定之薪給標準支薪或仍在原民營機構支薪。</w:t>
            </w:r>
          </w:p>
          <w:p w:rsidR="008954F4" w:rsidRPr="00764F68" w:rsidRDefault="008954F4" w:rsidP="0050772B">
            <w:pPr>
              <w:spacing w:line="420" w:lineRule="exact"/>
              <w:ind w:leftChars="455" w:left="1454" w:hangingChars="151" w:hanging="36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64F68">
              <w:rPr>
                <w:rFonts w:ascii="標楷體" w:eastAsia="標楷體" w:hAnsi="標楷體" w:cs="Times New Roman" w:hint="eastAsia"/>
                <w:szCs w:val="24"/>
              </w:rPr>
              <w:t>(3)政府機關與公營機構間科技人才相互之借調，除依規定辦理留職停薪者外，其薪資以在原服務機關（構）支領為原則，其考績（核）</w:t>
            </w:r>
            <w:proofErr w:type="gramStart"/>
            <w:r w:rsidRPr="00764F68">
              <w:rPr>
                <w:rFonts w:ascii="標楷體" w:eastAsia="標楷體" w:hAnsi="標楷體" w:cs="Times New Roman" w:hint="eastAsia"/>
                <w:szCs w:val="24"/>
              </w:rPr>
              <w:t>或晉敘</w:t>
            </w:r>
            <w:proofErr w:type="gramEnd"/>
            <w:r w:rsidRPr="00764F68">
              <w:rPr>
                <w:rFonts w:ascii="標楷體" w:eastAsia="標楷體" w:hAnsi="標楷體" w:cs="Times New Roman" w:hint="eastAsia"/>
                <w:szCs w:val="24"/>
              </w:rPr>
              <w:t>，仍依原機關（構）之規定辦理。</w:t>
            </w:r>
          </w:p>
          <w:p w:rsidR="008954F4" w:rsidRPr="00764F68" w:rsidRDefault="00134496" w:rsidP="002A49B1">
            <w:pPr>
              <w:spacing w:line="420" w:lineRule="exact"/>
              <w:ind w:leftChars="278" w:left="1044" w:hangingChars="157" w:hanging="37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C2BC9">
              <w:rPr>
                <w:rFonts w:ascii="標楷體" w:eastAsia="標楷體" w:hAnsi="標楷體" w:cs="Times New Roman" w:hint="eastAsia"/>
                <w:szCs w:val="24"/>
                <w:u w:val="single"/>
              </w:rPr>
              <w:t>5</w:t>
            </w:r>
            <w:r w:rsidR="008954F4" w:rsidRPr="00FC2BC9">
              <w:rPr>
                <w:rFonts w:ascii="標楷體" w:eastAsia="標楷體" w:hAnsi="標楷體" w:cs="Times New Roman" w:hint="eastAsia"/>
                <w:szCs w:val="24"/>
                <w:u w:val="single"/>
              </w:rPr>
              <w:t>、</w:t>
            </w:r>
            <w:r w:rsidR="008954F4" w:rsidRPr="00764F68">
              <w:rPr>
                <w:rFonts w:ascii="標楷體" w:eastAsia="標楷體" w:hAnsi="標楷體" w:cs="Times New Roman" w:hint="eastAsia"/>
                <w:szCs w:val="24"/>
              </w:rPr>
              <w:t>政府機關與公營機構間科技人</w:t>
            </w:r>
            <w:r w:rsidR="008954F4" w:rsidRPr="00764F68">
              <w:rPr>
                <w:rFonts w:ascii="標楷體" w:eastAsia="標楷體" w:hAnsi="標楷體" w:cs="Times New Roman" w:hint="eastAsia"/>
                <w:szCs w:val="24"/>
              </w:rPr>
              <w:lastRenderedPageBreak/>
              <w:t>才相互之借調，依現行有關法令規定辦理。</w:t>
            </w:r>
          </w:p>
          <w:p w:rsidR="003C6ABE" w:rsidRPr="00764F68" w:rsidRDefault="00134496" w:rsidP="002A49B1">
            <w:pPr>
              <w:tabs>
                <w:tab w:val="left" w:pos="826"/>
              </w:tabs>
              <w:spacing w:line="420" w:lineRule="exact"/>
              <w:ind w:leftChars="285" w:left="1044" w:hangingChars="150" w:hanging="3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C2BC9">
              <w:rPr>
                <w:rFonts w:ascii="標楷體" w:eastAsia="標楷體" w:hAnsi="標楷體" w:cs="Times New Roman" w:hint="eastAsia"/>
                <w:szCs w:val="24"/>
                <w:u w:val="single"/>
              </w:rPr>
              <w:t>6</w:t>
            </w:r>
            <w:r w:rsidR="008954F4" w:rsidRPr="00FC2BC9">
              <w:rPr>
                <w:rFonts w:ascii="標楷體" w:eastAsia="標楷體" w:hAnsi="標楷體" w:cs="Times New Roman" w:hint="eastAsia"/>
                <w:szCs w:val="24"/>
                <w:u w:val="single"/>
              </w:rPr>
              <w:t>、</w:t>
            </w:r>
            <w:r w:rsidR="008954F4" w:rsidRPr="00764F68">
              <w:rPr>
                <w:rFonts w:ascii="標楷體" w:eastAsia="標楷體" w:hAnsi="標楷體" w:cs="Times New Roman" w:hint="eastAsia"/>
                <w:szCs w:val="24"/>
              </w:rPr>
              <w:t>政府機關與公民營</w:t>
            </w:r>
            <w:proofErr w:type="gramStart"/>
            <w:r w:rsidR="008954F4" w:rsidRPr="00764F68">
              <w:rPr>
                <w:rFonts w:ascii="標楷體" w:eastAsia="標楷體" w:hAnsi="標楷體" w:cs="Times New Roman" w:hint="eastAsia"/>
                <w:szCs w:val="24"/>
              </w:rPr>
              <w:t>機構間得斟酌</w:t>
            </w:r>
            <w:proofErr w:type="gramEnd"/>
            <w:r w:rsidR="008954F4" w:rsidRPr="00764F68">
              <w:rPr>
                <w:rFonts w:ascii="標楷體" w:eastAsia="標楷體" w:hAnsi="標楷體" w:cs="Times New Roman" w:hint="eastAsia"/>
                <w:szCs w:val="24"/>
              </w:rPr>
              <w:t>實際需要，實施部分時間借調，並依有關規定支給交通費。</w:t>
            </w:r>
          </w:p>
        </w:tc>
        <w:tc>
          <w:tcPr>
            <w:tcW w:w="2778" w:type="dxa"/>
          </w:tcPr>
          <w:p w:rsidR="008954F4" w:rsidRPr="00764F68" w:rsidRDefault="008954F4" w:rsidP="0050772B">
            <w:pPr>
              <w:spacing w:line="420" w:lineRule="exact"/>
              <w:ind w:left="509" w:hangingChars="212" w:hanging="509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64F68">
              <w:rPr>
                <w:rFonts w:ascii="標楷體" w:eastAsia="標楷體" w:hAnsi="標楷體" w:cs="Times New Roman" w:hint="eastAsia"/>
                <w:szCs w:val="24"/>
              </w:rPr>
              <w:lastRenderedPageBreak/>
              <w:t>四、相互支援科技人才之人事管理，規定如下：</w:t>
            </w:r>
          </w:p>
          <w:p w:rsidR="008954F4" w:rsidRPr="00764F68" w:rsidRDefault="008954F4" w:rsidP="0050772B">
            <w:pPr>
              <w:spacing w:line="420" w:lineRule="exact"/>
              <w:ind w:left="761" w:hangingChars="317" w:hanging="76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64F68">
              <w:rPr>
                <w:rFonts w:ascii="標楷體" w:eastAsia="標楷體" w:hAnsi="標楷體" w:cs="Times New Roman" w:hint="eastAsia"/>
                <w:szCs w:val="24"/>
              </w:rPr>
              <w:t>（一）</w:t>
            </w:r>
            <w:proofErr w:type="gramStart"/>
            <w:r w:rsidRPr="00764F68">
              <w:rPr>
                <w:rFonts w:ascii="標楷體" w:eastAsia="標楷體" w:hAnsi="標楷體" w:cs="Times New Roman" w:hint="eastAsia"/>
                <w:szCs w:val="24"/>
              </w:rPr>
              <w:t>採</w:t>
            </w:r>
            <w:proofErr w:type="gramEnd"/>
            <w:r w:rsidRPr="00764F68">
              <w:rPr>
                <w:rFonts w:ascii="標楷體" w:eastAsia="標楷體" w:hAnsi="標楷體" w:cs="Times New Roman" w:hint="eastAsia"/>
                <w:szCs w:val="24"/>
              </w:rPr>
              <w:t>轉任方式者（以下簡稱轉任人員）：</w:t>
            </w:r>
          </w:p>
          <w:p w:rsidR="008954F4" w:rsidRPr="00764F68" w:rsidRDefault="008954F4" w:rsidP="002A49B1">
            <w:pPr>
              <w:spacing w:line="420" w:lineRule="exact"/>
              <w:ind w:leftChars="322" w:left="775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764F68">
              <w:rPr>
                <w:rFonts w:ascii="標楷體" w:eastAsia="標楷體" w:hAnsi="標楷體" w:cs="Times New Roman" w:hint="eastAsia"/>
                <w:szCs w:val="24"/>
              </w:rPr>
              <w:t>依轉任</w:t>
            </w:r>
            <w:proofErr w:type="gramEnd"/>
            <w:r w:rsidRPr="00764F68">
              <w:rPr>
                <w:rFonts w:ascii="標楷體" w:eastAsia="標楷體" w:hAnsi="標楷體" w:cs="Times New Roman" w:hint="eastAsia"/>
                <w:szCs w:val="24"/>
              </w:rPr>
              <w:t>機關（構）人事管理規章之規定，其由民營機構轉任政府機關職務時，具有資格者，依法轉任。未具資格者，依聘用人員聘用條例或主管機關訂定有關聘用之規定予以聘用；其聘用員額，以不超過各該機關（構）預算總人數百分之五為限，並依規定程序陳報權責機關核准。如有超過百分之五限額之必要時，應專案報行政院核准。</w:t>
            </w:r>
          </w:p>
          <w:p w:rsidR="008954F4" w:rsidRPr="00764F68" w:rsidRDefault="008954F4" w:rsidP="002A49B1">
            <w:pPr>
              <w:spacing w:line="420" w:lineRule="exact"/>
              <w:ind w:left="761" w:hangingChars="317" w:hanging="76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64F68">
              <w:rPr>
                <w:rFonts w:ascii="標楷體" w:eastAsia="標楷體" w:hAnsi="標楷體" w:cs="Times New Roman" w:hint="eastAsia"/>
                <w:szCs w:val="24"/>
              </w:rPr>
              <w:t>（二）</w:t>
            </w:r>
            <w:proofErr w:type="gramStart"/>
            <w:r w:rsidRPr="00764F68">
              <w:rPr>
                <w:rFonts w:ascii="標楷體" w:eastAsia="標楷體" w:hAnsi="標楷體" w:cs="Times New Roman" w:hint="eastAsia"/>
                <w:szCs w:val="24"/>
              </w:rPr>
              <w:t>採</w:t>
            </w:r>
            <w:proofErr w:type="gramEnd"/>
            <w:r w:rsidRPr="00764F68">
              <w:rPr>
                <w:rFonts w:ascii="標楷體" w:eastAsia="標楷體" w:hAnsi="標楷體" w:cs="Times New Roman" w:hint="eastAsia"/>
                <w:szCs w:val="24"/>
              </w:rPr>
              <w:t>借調方式者（以下簡稱借調人員）：</w:t>
            </w:r>
          </w:p>
          <w:p w:rsidR="008954F4" w:rsidRPr="00764F68" w:rsidRDefault="008954F4" w:rsidP="002A49B1">
            <w:pPr>
              <w:spacing w:line="420" w:lineRule="exact"/>
              <w:ind w:leftChars="320" w:left="1042" w:hangingChars="114" w:hanging="27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64F68">
              <w:rPr>
                <w:rFonts w:ascii="標楷體" w:eastAsia="標楷體" w:hAnsi="標楷體" w:cs="Times New Roman" w:hint="eastAsia"/>
                <w:szCs w:val="24"/>
              </w:rPr>
              <w:t>1、政府機關或公營</w:t>
            </w:r>
            <w:r w:rsidRPr="00764F68">
              <w:rPr>
                <w:rFonts w:ascii="標楷體" w:eastAsia="標楷體" w:hAnsi="標楷體" w:cs="Times New Roman" w:hint="eastAsia"/>
                <w:szCs w:val="24"/>
              </w:rPr>
              <w:lastRenderedPageBreak/>
              <w:t>機構之科技人才借調至民營機構者，依公務人員留職停薪辦法規定辦理留職停薪，並以非主管人員為原則；其有必要借調主管人員，且借調（含續借）期間超過六個月者，得先調任非主管後再行外借。</w:t>
            </w:r>
          </w:p>
          <w:p w:rsidR="008954F4" w:rsidRPr="00764F68" w:rsidRDefault="008954F4" w:rsidP="002A49B1">
            <w:pPr>
              <w:spacing w:line="420" w:lineRule="exact"/>
              <w:ind w:leftChars="325" w:left="1042" w:hangingChars="109" w:hanging="26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64F68">
              <w:rPr>
                <w:rFonts w:ascii="標楷體" w:eastAsia="標楷體" w:hAnsi="標楷體" w:cs="Times New Roman" w:hint="eastAsia"/>
                <w:szCs w:val="24"/>
              </w:rPr>
              <w:t>2、民營機構科技人才借調至政府機關或公營機構者，其借調</w:t>
            </w:r>
            <w:proofErr w:type="gramStart"/>
            <w:r w:rsidRPr="00764F68">
              <w:rPr>
                <w:rFonts w:ascii="標楷體" w:eastAsia="標楷體" w:hAnsi="標楷體" w:cs="Times New Roman" w:hint="eastAsia"/>
                <w:szCs w:val="24"/>
              </w:rPr>
              <w:t>期間，</w:t>
            </w:r>
            <w:proofErr w:type="gramEnd"/>
            <w:r w:rsidRPr="00764F68">
              <w:rPr>
                <w:rFonts w:ascii="標楷體" w:eastAsia="標楷體" w:hAnsi="標楷體" w:cs="Times New Roman" w:hint="eastAsia"/>
                <w:szCs w:val="24"/>
              </w:rPr>
              <w:t>以二年為限。但有業務需要</w:t>
            </w:r>
            <w:r w:rsidR="00D36B52" w:rsidRPr="00764F68">
              <w:rPr>
                <w:rFonts w:ascii="標楷體" w:eastAsia="標楷體" w:hAnsi="標楷體" w:cs="Times New Roman" w:hint="eastAsia"/>
                <w:szCs w:val="24"/>
              </w:rPr>
              <w:t>者</w:t>
            </w:r>
            <w:r w:rsidRPr="00764F68">
              <w:rPr>
                <w:rFonts w:ascii="標楷體" w:eastAsia="標楷體" w:hAnsi="標楷體" w:cs="Times New Roman" w:hint="eastAsia"/>
                <w:szCs w:val="24"/>
              </w:rPr>
              <w:t>，得</w:t>
            </w:r>
            <w:r w:rsidR="00D36B52" w:rsidRPr="00764F68">
              <w:rPr>
                <w:rFonts w:ascii="標楷體" w:eastAsia="標楷體" w:hAnsi="標楷體" w:cs="Times New Roman" w:hint="eastAsia"/>
                <w:szCs w:val="24"/>
              </w:rPr>
              <w:t>延長之；其延長以</w:t>
            </w:r>
            <w:r w:rsidRPr="00764F68">
              <w:rPr>
                <w:rFonts w:ascii="標楷體" w:eastAsia="標楷體" w:hAnsi="標楷體" w:cs="Times New Roman" w:hint="eastAsia"/>
                <w:szCs w:val="24"/>
              </w:rPr>
              <w:t>二年</w:t>
            </w:r>
            <w:r w:rsidR="00D36B52" w:rsidRPr="00764F68">
              <w:rPr>
                <w:rFonts w:ascii="標楷體" w:eastAsia="標楷體" w:hAnsi="標楷體" w:cs="Times New Roman" w:hint="eastAsia"/>
                <w:szCs w:val="24"/>
              </w:rPr>
              <w:t>為限</w:t>
            </w:r>
            <w:r w:rsidRPr="00764F68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8954F4" w:rsidRPr="00764F68" w:rsidRDefault="008954F4" w:rsidP="002A49B1">
            <w:pPr>
              <w:spacing w:line="420" w:lineRule="exact"/>
              <w:ind w:firstLineChars="312" w:firstLine="749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64F68">
              <w:rPr>
                <w:rFonts w:ascii="標楷體" w:eastAsia="標楷體" w:hAnsi="標楷體" w:cs="Times New Roman" w:hint="eastAsia"/>
                <w:szCs w:val="24"/>
              </w:rPr>
              <w:t>3、薪資：</w:t>
            </w:r>
          </w:p>
          <w:p w:rsidR="008954F4" w:rsidRPr="00764F68" w:rsidRDefault="008954F4" w:rsidP="008954F4">
            <w:pPr>
              <w:spacing w:line="420" w:lineRule="exact"/>
              <w:ind w:leftChars="431" w:left="1454" w:hangingChars="175" w:hanging="4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64F68">
              <w:rPr>
                <w:rFonts w:ascii="標楷體" w:eastAsia="標楷體" w:hAnsi="標楷體" w:cs="Times New Roman" w:hint="eastAsia"/>
                <w:szCs w:val="24"/>
              </w:rPr>
              <w:t>(1)</w:t>
            </w:r>
            <w:r w:rsidRPr="00764F68">
              <w:rPr>
                <w:rFonts w:ascii="標楷體" w:eastAsia="標楷體" w:hAnsi="標楷體" w:cs="Times New Roman" w:hint="eastAsia"/>
                <w:szCs w:val="24"/>
              </w:rPr>
              <w:tab/>
              <w:t>政府機關或公營機構科技人才借調至民營機構者，在借調機構支薪。</w:t>
            </w:r>
          </w:p>
          <w:p w:rsidR="008954F4" w:rsidRPr="00764F68" w:rsidRDefault="008954F4" w:rsidP="008954F4">
            <w:pPr>
              <w:spacing w:line="420" w:lineRule="exact"/>
              <w:ind w:leftChars="430" w:left="1440" w:hangingChars="170" w:hanging="40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64F68">
              <w:rPr>
                <w:rFonts w:ascii="標楷體" w:eastAsia="標楷體" w:hAnsi="標楷體" w:cs="Times New Roman" w:hint="eastAsia"/>
                <w:szCs w:val="24"/>
              </w:rPr>
              <w:t>(2)</w:t>
            </w:r>
            <w:r w:rsidRPr="00764F68">
              <w:rPr>
                <w:rFonts w:ascii="標楷體" w:eastAsia="標楷體" w:hAnsi="標楷體" w:cs="Times New Roman" w:hint="eastAsia"/>
                <w:szCs w:val="24"/>
              </w:rPr>
              <w:tab/>
              <w:t>民營機構科技人才借調至政府機關或公營機構</w:t>
            </w:r>
            <w:r w:rsidRPr="00764F68">
              <w:rPr>
                <w:rFonts w:ascii="標楷體" w:eastAsia="標楷體" w:hAnsi="標楷體" w:cs="Times New Roman" w:hint="eastAsia"/>
                <w:szCs w:val="24"/>
              </w:rPr>
              <w:lastRenderedPageBreak/>
              <w:t>者，得由借調機關（構）比照聘用人員所定之薪給標準支薪或仍在原民營機構支薪。</w:t>
            </w:r>
          </w:p>
          <w:p w:rsidR="008954F4" w:rsidRPr="00764F68" w:rsidRDefault="008954F4" w:rsidP="008954F4">
            <w:pPr>
              <w:spacing w:line="420" w:lineRule="exact"/>
              <w:ind w:leftChars="455" w:left="1428" w:hangingChars="140" w:hanging="33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64F68">
              <w:rPr>
                <w:rFonts w:ascii="標楷體" w:eastAsia="標楷體" w:hAnsi="標楷體" w:cs="Times New Roman" w:hint="eastAsia"/>
                <w:szCs w:val="24"/>
              </w:rPr>
              <w:t>(3)政府機關與公營機構間科技人才相互之借調，除依規定辦理留職停薪者外，其薪資以在原服務機關（構）支領為原則，其考績（核）</w:t>
            </w:r>
            <w:proofErr w:type="gramStart"/>
            <w:r w:rsidRPr="00764F68">
              <w:rPr>
                <w:rFonts w:ascii="標楷體" w:eastAsia="標楷體" w:hAnsi="標楷體" w:cs="Times New Roman" w:hint="eastAsia"/>
                <w:szCs w:val="24"/>
              </w:rPr>
              <w:t>或晉敘</w:t>
            </w:r>
            <w:proofErr w:type="gramEnd"/>
            <w:r w:rsidRPr="00764F68">
              <w:rPr>
                <w:rFonts w:ascii="標楷體" w:eastAsia="標楷體" w:hAnsi="標楷體" w:cs="Times New Roman" w:hint="eastAsia"/>
                <w:szCs w:val="24"/>
              </w:rPr>
              <w:t>，仍依原機關（構）之規定辦理。</w:t>
            </w:r>
          </w:p>
          <w:p w:rsidR="008954F4" w:rsidRPr="00764F68" w:rsidRDefault="008954F4" w:rsidP="00764F68">
            <w:pPr>
              <w:spacing w:line="420" w:lineRule="exact"/>
              <w:ind w:leftChars="265" w:left="1001" w:hanging="36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64F68">
              <w:rPr>
                <w:rFonts w:ascii="標楷體" w:eastAsia="標楷體" w:hAnsi="標楷體" w:cs="Times New Roman" w:hint="eastAsia"/>
                <w:szCs w:val="24"/>
              </w:rPr>
              <w:t>4、政府機關與公營機構間科技人才相互之借調，依現行有關法令規定辦理。</w:t>
            </w:r>
          </w:p>
          <w:p w:rsidR="003C6ABE" w:rsidRPr="00764F68" w:rsidRDefault="008954F4" w:rsidP="00764F68">
            <w:pPr>
              <w:spacing w:line="420" w:lineRule="exact"/>
              <w:ind w:leftChars="259" w:left="999" w:hangingChars="157" w:hanging="37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64F68">
              <w:rPr>
                <w:rFonts w:ascii="標楷體" w:eastAsia="標楷體" w:hAnsi="標楷體" w:cs="Times New Roman" w:hint="eastAsia"/>
                <w:szCs w:val="24"/>
              </w:rPr>
              <w:t>5、政府機關與公民營</w:t>
            </w:r>
            <w:proofErr w:type="gramStart"/>
            <w:r w:rsidRPr="00764F68">
              <w:rPr>
                <w:rFonts w:ascii="標楷體" w:eastAsia="標楷體" w:hAnsi="標楷體" w:cs="Times New Roman" w:hint="eastAsia"/>
                <w:szCs w:val="24"/>
              </w:rPr>
              <w:t>機構間得斟酌</w:t>
            </w:r>
            <w:proofErr w:type="gramEnd"/>
            <w:r w:rsidRPr="00764F68">
              <w:rPr>
                <w:rFonts w:ascii="標楷體" w:eastAsia="標楷體" w:hAnsi="標楷體" w:cs="Times New Roman" w:hint="eastAsia"/>
                <w:szCs w:val="24"/>
              </w:rPr>
              <w:t>實際需要，實施部分時間借調，</w:t>
            </w:r>
            <w:r w:rsidRPr="00764F68">
              <w:rPr>
                <w:rFonts w:ascii="標楷體" w:eastAsia="標楷體" w:hAnsi="標楷體" w:cs="Times New Roman" w:hint="eastAsia"/>
                <w:szCs w:val="24"/>
              </w:rPr>
              <w:lastRenderedPageBreak/>
              <w:t>並依有關規定支給交通費。</w:t>
            </w:r>
          </w:p>
        </w:tc>
        <w:tc>
          <w:tcPr>
            <w:tcW w:w="2805" w:type="dxa"/>
          </w:tcPr>
          <w:p w:rsidR="00487793" w:rsidRPr="00764F68" w:rsidRDefault="009851FC" w:rsidP="00761631">
            <w:pPr>
              <w:pStyle w:val="a9"/>
              <w:numPr>
                <w:ilvl w:val="0"/>
                <w:numId w:val="5"/>
              </w:numPr>
              <w:spacing w:line="42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64F68">
              <w:rPr>
                <w:rFonts w:ascii="標楷體" w:eastAsia="標楷體" w:hAnsi="標楷體" w:cs="Times New Roman" w:hint="eastAsia"/>
                <w:szCs w:val="24"/>
              </w:rPr>
              <w:lastRenderedPageBreak/>
              <w:t>查現行民營機構科技人才借調至政府機關或公營機構之借調期限</w:t>
            </w:r>
            <w:r w:rsidR="00524146">
              <w:rPr>
                <w:rFonts w:ascii="標楷體" w:eastAsia="標楷體" w:hAnsi="標楷體" w:cs="Times New Roman" w:hint="eastAsia"/>
                <w:szCs w:val="24"/>
              </w:rPr>
              <w:t>原則</w:t>
            </w:r>
            <w:r w:rsidR="00BD47B1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="00524146">
              <w:rPr>
                <w:rFonts w:ascii="標楷體" w:eastAsia="標楷體" w:hAnsi="標楷體" w:cs="Times New Roman" w:hint="eastAsia"/>
                <w:szCs w:val="24"/>
              </w:rPr>
              <w:t>年，得再延長</w:t>
            </w:r>
            <w:r w:rsidR="00BD47B1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="00524146">
              <w:rPr>
                <w:rFonts w:ascii="標楷體" w:eastAsia="標楷體" w:hAnsi="標楷體" w:cs="Times New Roman" w:hint="eastAsia"/>
                <w:szCs w:val="24"/>
              </w:rPr>
              <w:t>年之規定，</w:t>
            </w:r>
            <w:r w:rsidRPr="00764F68">
              <w:rPr>
                <w:rFonts w:ascii="標楷體" w:eastAsia="標楷體" w:hAnsi="標楷體" w:cs="Times New Roman" w:hint="eastAsia"/>
                <w:szCs w:val="24"/>
              </w:rPr>
              <w:t>係</w:t>
            </w:r>
            <w:r w:rsidR="007F3138">
              <w:rPr>
                <w:rFonts w:ascii="標楷體" w:eastAsia="標楷體" w:hAnsi="標楷體" w:cs="Times New Roman" w:hint="eastAsia"/>
                <w:szCs w:val="24"/>
              </w:rPr>
              <w:t>行政院前於</w:t>
            </w:r>
            <w:r w:rsidR="00BD47B1">
              <w:rPr>
                <w:rFonts w:ascii="標楷體" w:eastAsia="標楷體" w:hAnsi="標楷體" w:cs="Times New Roman" w:hint="eastAsia"/>
                <w:szCs w:val="24"/>
              </w:rPr>
              <w:t>九十二</w:t>
            </w:r>
            <w:r w:rsidR="00524146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BD47B1">
              <w:rPr>
                <w:rFonts w:ascii="標楷體" w:eastAsia="標楷體" w:hAnsi="標楷體" w:cs="Times New Roman" w:hint="eastAsia"/>
                <w:szCs w:val="24"/>
              </w:rPr>
              <w:t>八</w:t>
            </w:r>
            <w:r w:rsidR="00524146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BD47B1">
              <w:rPr>
                <w:rFonts w:ascii="標楷體" w:eastAsia="標楷體" w:hAnsi="標楷體" w:cs="Times New Roman" w:hint="eastAsia"/>
                <w:szCs w:val="24"/>
              </w:rPr>
              <w:t>二十五</w:t>
            </w:r>
            <w:r w:rsidR="00524146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Pr="00764F68">
              <w:rPr>
                <w:rFonts w:ascii="標楷體" w:eastAsia="標楷體" w:hAnsi="標楷體" w:cs="Times New Roman" w:hint="eastAsia"/>
                <w:szCs w:val="24"/>
              </w:rPr>
              <w:t>參酌「行政院限制所屬公務人員借調及兼職要點」</w:t>
            </w:r>
            <w:r w:rsidR="00524146">
              <w:rPr>
                <w:rFonts w:ascii="標楷體" w:eastAsia="標楷體" w:hAnsi="標楷體" w:cs="Times New Roman" w:hint="eastAsia"/>
                <w:szCs w:val="24"/>
              </w:rPr>
              <w:t>(以下簡稱借調兼職要點)</w:t>
            </w:r>
            <w:r w:rsidR="00761631" w:rsidRPr="00764F68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BD47B1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="00761631" w:rsidRPr="00764F68">
              <w:rPr>
                <w:rFonts w:ascii="標楷體" w:eastAsia="標楷體" w:hAnsi="標楷體" w:cs="Times New Roman" w:hint="eastAsia"/>
                <w:szCs w:val="24"/>
              </w:rPr>
              <w:t>點</w:t>
            </w:r>
            <w:r w:rsidRPr="00764F68">
              <w:rPr>
                <w:rFonts w:ascii="標楷體" w:eastAsia="標楷體" w:hAnsi="標楷體" w:cs="Times New Roman" w:hint="eastAsia"/>
                <w:szCs w:val="24"/>
              </w:rPr>
              <w:t>之借調年限規定</w:t>
            </w:r>
            <w:r w:rsidR="00761631" w:rsidRPr="00764F68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721F56">
              <w:rPr>
                <w:rFonts w:ascii="標楷體" w:eastAsia="標楷體" w:hAnsi="標楷體" w:cs="Times New Roman" w:hint="eastAsia"/>
                <w:szCs w:val="24"/>
              </w:rPr>
              <w:t>政府機關公務人員借調期間最長以</w:t>
            </w:r>
            <w:r w:rsidR="00BD47B1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="00761631" w:rsidRPr="00764F68">
              <w:rPr>
                <w:rFonts w:ascii="標楷體" w:eastAsia="標楷體" w:hAnsi="標楷體" w:cs="Times New Roman" w:hint="eastAsia"/>
                <w:szCs w:val="24"/>
              </w:rPr>
              <w:t>年為限)</w:t>
            </w:r>
            <w:r w:rsidRPr="00764F68">
              <w:rPr>
                <w:rFonts w:ascii="標楷體" w:eastAsia="標楷體" w:hAnsi="標楷體" w:cs="Times New Roman" w:hint="eastAsia"/>
                <w:szCs w:val="24"/>
              </w:rPr>
              <w:t>予以修正訂定</w:t>
            </w:r>
            <w:r w:rsidR="00761631" w:rsidRPr="00764F68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524146" w:rsidRDefault="00524146" w:rsidP="00761631">
            <w:pPr>
              <w:pStyle w:val="a9"/>
              <w:numPr>
                <w:ilvl w:val="0"/>
                <w:numId w:val="5"/>
              </w:numPr>
              <w:spacing w:line="42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政府為辦理科技業務，多</w:t>
            </w:r>
            <w:r w:rsidR="00721F56">
              <w:rPr>
                <w:rFonts w:ascii="標楷體" w:eastAsia="標楷體" w:hAnsi="標楷體" w:cs="Times New Roman" w:hint="eastAsia"/>
                <w:szCs w:val="24"/>
              </w:rPr>
              <w:t>有</w:t>
            </w:r>
            <w:r>
              <w:rPr>
                <w:rFonts w:ascii="標楷體" w:eastAsia="標楷體" w:hAnsi="標楷體" w:cs="Times New Roman" w:hint="eastAsia"/>
                <w:szCs w:val="24"/>
              </w:rPr>
              <w:t>自民間機構借調科技專業人才，協助辦理科技政策規劃及評估業務</w:t>
            </w:r>
            <w:r w:rsidR="00721F56">
              <w:rPr>
                <w:rFonts w:ascii="標楷體" w:eastAsia="標楷體" w:hAnsi="標楷體" w:cs="Times New Roman" w:hint="eastAsia"/>
                <w:szCs w:val="24"/>
              </w:rPr>
              <w:t>者。基於科技政策具延續性，及特殊科技領域人才之</w:t>
            </w:r>
            <w:r>
              <w:rPr>
                <w:rFonts w:ascii="標楷體" w:eastAsia="標楷體" w:hAnsi="標楷體" w:cs="Times New Roman" w:hint="eastAsia"/>
                <w:szCs w:val="24"/>
              </w:rPr>
              <w:t>稀少性，為</w:t>
            </w:r>
            <w:r w:rsidR="007F3138">
              <w:rPr>
                <w:rFonts w:ascii="標楷體" w:eastAsia="標楷體" w:hAnsi="標楷體" w:cs="Times New Roman" w:hint="eastAsia"/>
                <w:szCs w:val="24"/>
              </w:rPr>
              <w:t>符合</w:t>
            </w:r>
            <w:r>
              <w:rPr>
                <w:rFonts w:ascii="標楷體" w:eastAsia="標楷體" w:hAnsi="標楷體" w:cs="Times New Roman" w:hint="eastAsia"/>
                <w:szCs w:val="24"/>
              </w:rPr>
              <w:t>科技機關或單位之用人需求，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爰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修正第</w:t>
            </w:r>
            <w:r w:rsidR="00BD47B1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>
              <w:rPr>
                <w:rFonts w:ascii="標楷體" w:eastAsia="標楷體" w:hAnsi="標楷體" w:cs="Times New Roman" w:hint="eastAsia"/>
                <w:szCs w:val="24"/>
              </w:rPr>
              <w:t>款第</w:t>
            </w:r>
            <w:r w:rsidR="00BD47B1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="007F3138">
              <w:rPr>
                <w:rFonts w:ascii="標楷體" w:eastAsia="標楷體" w:hAnsi="標楷體" w:cs="Times New Roman" w:hint="eastAsia"/>
                <w:szCs w:val="24"/>
              </w:rPr>
              <w:t>目，放寬</w:t>
            </w:r>
            <w:r>
              <w:rPr>
                <w:rFonts w:ascii="標楷體" w:eastAsia="標楷體" w:hAnsi="標楷體" w:cs="Times New Roman" w:hint="eastAsia"/>
                <w:szCs w:val="24"/>
              </w:rPr>
              <w:t>借調期限規定為因業務需要，得再延長借調</w:t>
            </w:r>
            <w:r w:rsidR="00BD47B1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="00721F56">
              <w:rPr>
                <w:rFonts w:ascii="標楷體" w:eastAsia="標楷體" w:hAnsi="標楷體" w:cs="Times New Roman" w:hint="eastAsia"/>
                <w:szCs w:val="24"/>
              </w:rPr>
              <w:t>年。另為避免借調</w:t>
            </w:r>
            <w:r w:rsidR="00721F56">
              <w:rPr>
                <w:rFonts w:ascii="標楷體" w:eastAsia="標楷體" w:hAnsi="標楷體" w:cs="Times New Roman" w:hint="eastAsia"/>
                <w:szCs w:val="24"/>
              </w:rPr>
              <w:lastRenderedPageBreak/>
              <w:t>過於寬濫及考量業務銜接需要，</w:t>
            </w:r>
            <w:proofErr w:type="gramStart"/>
            <w:r w:rsidR="00721F56">
              <w:rPr>
                <w:rFonts w:ascii="標楷體" w:eastAsia="標楷體" w:hAnsi="標楷體" w:cs="Times New Roman" w:hint="eastAsia"/>
                <w:szCs w:val="24"/>
              </w:rPr>
              <w:t>爰</w:t>
            </w:r>
            <w:proofErr w:type="gramEnd"/>
            <w:r w:rsidR="007F3138">
              <w:rPr>
                <w:rFonts w:ascii="標楷體" w:eastAsia="標楷體" w:hAnsi="標楷體" w:cs="Times New Roman" w:hint="eastAsia"/>
                <w:szCs w:val="24"/>
              </w:rPr>
              <w:t>須以借調</w:t>
            </w:r>
            <w:r>
              <w:rPr>
                <w:rFonts w:ascii="標楷體" w:eastAsia="標楷體" w:hAnsi="標楷體" w:cs="Times New Roman" w:hint="eastAsia"/>
                <w:szCs w:val="24"/>
              </w:rPr>
              <w:t>辦理相當主管職務工作者方適用上述再延長</w:t>
            </w:r>
            <w:r w:rsidR="00BD47B1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>
              <w:rPr>
                <w:rFonts w:ascii="標楷體" w:eastAsia="標楷體" w:hAnsi="標楷體" w:cs="Times New Roman" w:hint="eastAsia"/>
                <w:szCs w:val="24"/>
              </w:rPr>
              <w:t>年之規定。</w:t>
            </w:r>
          </w:p>
          <w:p w:rsidR="00524146" w:rsidRDefault="00524146" w:rsidP="00524146">
            <w:pPr>
              <w:pStyle w:val="a9"/>
              <w:numPr>
                <w:ilvl w:val="0"/>
                <w:numId w:val="5"/>
              </w:numPr>
              <w:spacing w:line="42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另依原</w:t>
            </w:r>
            <w:r w:rsidR="00721F56">
              <w:rPr>
                <w:rFonts w:ascii="標楷體" w:eastAsia="標楷體" w:hAnsi="標楷體" w:cs="Times New Roman" w:hint="eastAsia"/>
                <w:szCs w:val="24"/>
              </w:rPr>
              <w:t>行政院</w:t>
            </w:r>
            <w:r>
              <w:rPr>
                <w:rFonts w:ascii="標楷體" w:eastAsia="標楷體" w:hAnsi="標楷體" w:cs="Times New Roman" w:hint="eastAsia"/>
                <w:szCs w:val="24"/>
              </w:rPr>
              <w:t>人事</w:t>
            </w:r>
            <w:r w:rsidR="00721F56">
              <w:rPr>
                <w:rFonts w:ascii="標楷體" w:eastAsia="標楷體" w:hAnsi="標楷體" w:cs="Times New Roman" w:hint="eastAsia"/>
                <w:szCs w:val="24"/>
              </w:rPr>
              <w:t>行政</w:t>
            </w:r>
            <w:r>
              <w:rPr>
                <w:rFonts w:ascii="標楷體" w:eastAsia="標楷體" w:hAnsi="標楷體" w:cs="Times New Roman" w:hint="eastAsia"/>
                <w:szCs w:val="24"/>
              </w:rPr>
              <w:t>局</w:t>
            </w:r>
            <w:r w:rsidR="00BD47B1">
              <w:rPr>
                <w:rFonts w:ascii="標楷體" w:eastAsia="標楷體" w:hAnsi="標楷體" w:cs="Times New Roman" w:hint="eastAsia"/>
                <w:szCs w:val="24"/>
              </w:rPr>
              <w:t>八十四</w:t>
            </w:r>
            <w:r w:rsidRPr="00524146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BD47B1">
              <w:rPr>
                <w:rFonts w:ascii="標楷體" w:eastAsia="標楷體" w:hAnsi="標楷體" w:cs="Times New Roman" w:hint="eastAsia"/>
                <w:szCs w:val="24"/>
              </w:rPr>
              <w:t>十二</w:t>
            </w:r>
            <w:r w:rsidRPr="00524146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BD47B1">
              <w:rPr>
                <w:rFonts w:ascii="標楷體" w:eastAsia="標楷體" w:hAnsi="標楷體" w:cs="Times New Roman" w:hint="eastAsia"/>
                <w:szCs w:val="24"/>
              </w:rPr>
              <w:t>八</w:t>
            </w:r>
            <w:r w:rsidRPr="00524146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="00BD47B1">
              <w:rPr>
                <w:rFonts w:ascii="標楷體" w:eastAsia="標楷體" w:hAnsi="標楷體" w:cs="Times New Roman" w:hint="eastAsia"/>
                <w:szCs w:val="24"/>
              </w:rPr>
              <w:t>八十四</w:t>
            </w:r>
            <w:proofErr w:type="gramStart"/>
            <w:r w:rsidR="00721F56">
              <w:rPr>
                <w:rFonts w:ascii="標楷體" w:eastAsia="標楷體" w:hAnsi="標楷體" w:cs="Times New Roman" w:hint="eastAsia"/>
                <w:szCs w:val="24"/>
              </w:rPr>
              <w:t>局力字第</w:t>
            </w:r>
            <w:r w:rsidR="00BD47B1">
              <w:rPr>
                <w:rFonts w:ascii="標楷體" w:eastAsia="標楷體" w:hAnsi="標楷體" w:cs="Times New Roman" w:hint="eastAsia"/>
                <w:szCs w:val="24"/>
              </w:rPr>
              <w:t>四四六</w:t>
            </w:r>
            <w:proofErr w:type="gramEnd"/>
            <w:r w:rsidR="00BD47B1">
              <w:rPr>
                <w:rFonts w:ascii="標楷體" w:eastAsia="標楷體" w:hAnsi="標楷體" w:cs="Times New Roman" w:hint="eastAsia"/>
                <w:szCs w:val="24"/>
              </w:rPr>
              <w:t>七三</w:t>
            </w:r>
            <w:r w:rsidR="00721F56">
              <w:rPr>
                <w:rFonts w:ascii="標楷體" w:eastAsia="標楷體" w:hAnsi="標楷體" w:cs="Times New Roman" w:hint="eastAsia"/>
                <w:szCs w:val="24"/>
              </w:rPr>
              <w:t>號</w:t>
            </w:r>
            <w:r w:rsidR="008C1DE3">
              <w:rPr>
                <w:rFonts w:ascii="標楷體" w:eastAsia="標楷體" w:hAnsi="標楷體" w:cs="Times New Roman" w:hint="eastAsia"/>
                <w:szCs w:val="24"/>
              </w:rPr>
              <w:t>就借調兼職要點</w:t>
            </w:r>
            <w:r w:rsidRPr="00524146">
              <w:rPr>
                <w:rFonts w:ascii="標楷體" w:eastAsia="標楷體" w:hAnsi="標楷體" w:cs="Times New Roman" w:hint="eastAsia"/>
                <w:szCs w:val="24"/>
              </w:rPr>
              <w:t>函釋略</w:t>
            </w:r>
            <w:proofErr w:type="gramStart"/>
            <w:r w:rsidRPr="00524146">
              <w:rPr>
                <w:rFonts w:ascii="標楷體" w:eastAsia="標楷體" w:hAnsi="標楷體" w:cs="Times New Roman" w:hint="eastAsia"/>
                <w:szCs w:val="24"/>
              </w:rPr>
              <w:t>以</w:t>
            </w:r>
            <w:proofErr w:type="gramEnd"/>
            <w:r w:rsidRPr="00524146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="007F3138">
              <w:rPr>
                <w:rFonts w:ascii="標楷體" w:eastAsia="標楷體" w:hAnsi="標楷體" w:cs="Times New Roman" w:hint="eastAsia"/>
                <w:szCs w:val="24"/>
              </w:rPr>
              <w:t>各機關公務人員</w:t>
            </w:r>
            <w:r w:rsidRPr="00524146">
              <w:rPr>
                <w:rFonts w:ascii="標楷體" w:eastAsia="標楷體" w:hAnsi="標楷體" w:cs="Times New Roman" w:hint="eastAsia"/>
                <w:szCs w:val="24"/>
              </w:rPr>
              <w:t>於借調</w:t>
            </w:r>
            <w:r w:rsidR="00BD47B1">
              <w:rPr>
                <w:rFonts w:ascii="標楷體" w:eastAsia="標楷體" w:hAnsi="標楷體" w:cs="Times New Roman" w:hint="eastAsia"/>
                <w:szCs w:val="24"/>
              </w:rPr>
              <w:t>四年期滿應</w:t>
            </w:r>
            <w:r w:rsidRPr="00524146">
              <w:rPr>
                <w:rFonts w:ascii="標楷體" w:eastAsia="標楷體" w:hAnsi="標楷體" w:cs="Times New Roman" w:hint="eastAsia"/>
                <w:szCs w:val="24"/>
              </w:rPr>
              <w:t>行歸建，不得再辦理借調</w:t>
            </w:r>
            <w:r w:rsidR="007F3138">
              <w:rPr>
                <w:rFonts w:ascii="標楷體" w:eastAsia="標楷體" w:hAnsi="標楷體" w:cs="Times New Roman" w:hint="eastAsia"/>
                <w:szCs w:val="24"/>
              </w:rPr>
              <w:t>。經查本要點就民間人員借調至政府</w:t>
            </w:r>
            <w:r w:rsidR="00572B80">
              <w:rPr>
                <w:rFonts w:ascii="標楷體" w:eastAsia="標楷體" w:hAnsi="標楷體" w:cs="Times New Roman" w:hint="eastAsia"/>
                <w:szCs w:val="24"/>
              </w:rPr>
              <w:t>機關</w:t>
            </w:r>
            <w:r w:rsidR="00721F56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>
              <w:rPr>
                <w:rFonts w:ascii="標楷體" w:eastAsia="標楷體" w:hAnsi="標楷體" w:cs="Times New Roman" w:hint="eastAsia"/>
                <w:szCs w:val="24"/>
              </w:rPr>
              <w:t>並無</w:t>
            </w:r>
            <w:r w:rsidR="00572B80">
              <w:rPr>
                <w:rFonts w:ascii="標楷體" w:eastAsia="標楷體" w:hAnsi="標楷體" w:cs="Times New Roman" w:hint="eastAsia"/>
                <w:szCs w:val="24"/>
              </w:rPr>
              <w:t>借調</w:t>
            </w:r>
            <w:r w:rsidR="00721F56">
              <w:rPr>
                <w:rFonts w:ascii="標楷體" w:eastAsia="標楷體" w:hAnsi="標楷體" w:cs="Times New Roman" w:hint="eastAsia"/>
                <w:szCs w:val="24"/>
              </w:rPr>
              <w:t>期滿不得再借調之</w:t>
            </w:r>
            <w:r>
              <w:rPr>
                <w:rFonts w:ascii="標楷體" w:eastAsia="標楷體" w:hAnsi="標楷體" w:cs="Times New Roman" w:hint="eastAsia"/>
                <w:szCs w:val="24"/>
              </w:rPr>
              <w:t>規定，為求明確，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爰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於第</w:t>
            </w:r>
            <w:r w:rsidR="00BD47B1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>
              <w:rPr>
                <w:rFonts w:ascii="標楷體" w:eastAsia="標楷體" w:hAnsi="標楷體" w:cs="Times New Roman" w:hint="eastAsia"/>
                <w:szCs w:val="24"/>
              </w:rPr>
              <w:t>款第</w:t>
            </w:r>
            <w:r w:rsidR="00134496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>
              <w:rPr>
                <w:rFonts w:ascii="標楷體" w:eastAsia="標楷體" w:hAnsi="標楷體" w:cs="Times New Roman" w:hint="eastAsia"/>
                <w:szCs w:val="24"/>
              </w:rPr>
              <w:t>目</w:t>
            </w:r>
            <w:r w:rsidR="00134496">
              <w:rPr>
                <w:rFonts w:ascii="標楷體" w:eastAsia="標楷體" w:hAnsi="標楷體" w:cs="Times New Roman" w:hint="eastAsia"/>
                <w:szCs w:val="24"/>
              </w:rPr>
              <w:t>增訂</w:t>
            </w:r>
            <w:r w:rsidR="004E2D3B">
              <w:rPr>
                <w:rFonts w:ascii="標楷體" w:eastAsia="標楷體" w:hAnsi="標楷體" w:cs="Times New Roman" w:hint="eastAsia"/>
                <w:szCs w:val="24"/>
              </w:rPr>
              <w:t>借調期滿即</w:t>
            </w:r>
            <w:r w:rsidR="008C74D1">
              <w:rPr>
                <w:rFonts w:ascii="標楷體" w:eastAsia="標楷體" w:hAnsi="標楷體" w:cs="Times New Roman" w:hint="eastAsia"/>
                <w:szCs w:val="24"/>
              </w:rPr>
              <w:t>應</w:t>
            </w:r>
            <w:r w:rsidR="004E2D3B">
              <w:rPr>
                <w:rFonts w:ascii="標楷體" w:eastAsia="標楷體" w:hAnsi="標楷體" w:cs="Times New Roman" w:hint="eastAsia"/>
                <w:szCs w:val="24"/>
              </w:rPr>
              <w:t>歸建，不得再辦理借調</w:t>
            </w:r>
            <w:r w:rsidR="00D71281">
              <w:rPr>
                <w:rFonts w:ascii="標楷體" w:eastAsia="標楷體" w:hAnsi="標楷體" w:cs="Times New Roman" w:hint="eastAsia"/>
                <w:szCs w:val="24"/>
              </w:rPr>
              <w:t>之明文</w:t>
            </w:r>
            <w:r w:rsidR="004E2D3B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="00134496">
              <w:rPr>
                <w:rFonts w:ascii="標楷體" w:eastAsia="標楷體" w:hAnsi="標楷體" w:cs="Times New Roman" w:hint="eastAsia"/>
                <w:szCs w:val="24"/>
              </w:rPr>
              <w:t>以下目次遞移。</w:t>
            </w:r>
          </w:p>
          <w:p w:rsidR="00761631" w:rsidRPr="00764F68" w:rsidRDefault="004E2D3B" w:rsidP="00524146">
            <w:pPr>
              <w:pStyle w:val="a9"/>
              <w:numPr>
                <w:ilvl w:val="0"/>
                <w:numId w:val="5"/>
              </w:numPr>
              <w:spacing w:line="42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至有關</w:t>
            </w:r>
            <w:r w:rsidR="00021049">
              <w:rPr>
                <w:rFonts w:ascii="標楷體" w:eastAsia="標楷體" w:hAnsi="標楷體" w:cs="Times New Roman" w:hint="eastAsia"/>
                <w:szCs w:val="24"/>
              </w:rPr>
              <w:t>政府機關或公營機構之</w:t>
            </w:r>
            <w:r w:rsidR="002617B1">
              <w:rPr>
                <w:rFonts w:ascii="標楷體" w:eastAsia="標楷體" w:hAnsi="標楷體" w:cs="Times New Roman" w:hint="eastAsia"/>
                <w:szCs w:val="24"/>
              </w:rPr>
              <w:t>人員</w:t>
            </w:r>
            <w:r w:rsidR="00021049">
              <w:rPr>
                <w:rFonts w:ascii="標楷體" w:eastAsia="標楷體" w:hAnsi="標楷體" w:cs="Times New Roman" w:hint="eastAsia"/>
                <w:szCs w:val="24"/>
              </w:rPr>
              <w:t>借調至民營機構者，渠等人員之借調期限仍依第</w:t>
            </w:r>
            <w:r w:rsidR="00BD47B1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="00021049">
              <w:rPr>
                <w:rFonts w:ascii="標楷體" w:eastAsia="標楷體" w:hAnsi="標楷體" w:cs="Times New Roman" w:hint="eastAsia"/>
                <w:szCs w:val="24"/>
              </w:rPr>
              <w:t>款第</w:t>
            </w:r>
            <w:r w:rsidR="00BD47B1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="007F3138">
              <w:rPr>
                <w:rFonts w:ascii="標楷體" w:eastAsia="標楷體" w:hAnsi="標楷體" w:cs="Times New Roman" w:hint="eastAsia"/>
                <w:szCs w:val="24"/>
              </w:rPr>
              <w:t>目之規定，回歸「公務人員留職停薪辦法」規定辦理</w:t>
            </w:r>
            <w:r w:rsidR="00021049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proofErr w:type="gramStart"/>
            <w:r w:rsidR="00021049">
              <w:rPr>
                <w:rFonts w:ascii="標楷體" w:eastAsia="標楷體" w:hAnsi="標楷體" w:cs="Times New Roman" w:hint="eastAsia"/>
                <w:szCs w:val="24"/>
              </w:rPr>
              <w:t>併</w:t>
            </w:r>
            <w:proofErr w:type="gramEnd"/>
            <w:r w:rsidR="00021049">
              <w:rPr>
                <w:rFonts w:ascii="標楷體" w:eastAsia="標楷體" w:hAnsi="標楷體" w:cs="Times New Roman" w:hint="eastAsia"/>
                <w:szCs w:val="24"/>
              </w:rPr>
              <w:t>予敍明。</w:t>
            </w:r>
          </w:p>
        </w:tc>
      </w:tr>
    </w:tbl>
    <w:p w:rsidR="00A6111B" w:rsidRPr="003319D7" w:rsidRDefault="00A6111B"/>
    <w:sectPr w:rsidR="00A6111B" w:rsidRPr="003319D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2DD" w:rsidRDefault="007562DD" w:rsidP="005F6701">
      <w:r>
        <w:separator/>
      </w:r>
    </w:p>
  </w:endnote>
  <w:endnote w:type="continuationSeparator" w:id="0">
    <w:p w:rsidR="007562DD" w:rsidRDefault="007562DD" w:rsidP="005F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9152174"/>
      <w:docPartObj>
        <w:docPartGallery w:val="Page Numbers (Bottom of Page)"/>
        <w:docPartUnique/>
      </w:docPartObj>
    </w:sdtPr>
    <w:sdtEndPr/>
    <w:sdtContent>
      <w:p w:rsidR="00F23519" w:rsidRDefault="00F235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569" w:rsidRPr="00036569">
          <w:rPr>
            <w:noProof/>
            <w:lang w:val="zh-TW"/>
          </w:rPr>
          <w:t>1</w:t>
        </w:r>
        <w:r>
          <w:fldChar w:fldCharType="end"/>
        </w:r>
      </w:p>
    </w:sdtContent>
  </w:sdt>
  <w:p w:rsidR="00F23519" w:rsidRDefault="00F235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2DD" w:rsidRDefault="007562DD" w:rsidP="005F6701">
      <w:r>
        <w:separator/>
      </w:r>
    </w:p>
  </w:footnote>
  <w:footnote w:type="continuationSeparator" w:id="0">
    <w:p w:rsidR="007562DD" w:rsidRDefault="007562DD" w:rsidP="005F6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66CC"/>
    <w:multiLevelType w:val="hybridMultilevel"/>
    <w:tmpl w:val="48C064E2"/>
    <w:lvl w:ilvl="0" w:tplc="C908E4C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7040C0"/>
    <w:multiLevelType w:val="hybridMultilevel"/>
    <w:tmpl w:val="A232F5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9244DA"/>
    <w:multiLevelType w:val="hybridMultilevel"/>
    <w:tmpl w:val="E0301D4E"/>
    <w:lvl w:ilvl="0" w:tplc="A34E7B02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color w:val="7F7F7F" w:themeColor="text1" w:themeTint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7B0D7F"/>
    <w:multiLevelType w:val="hybridMultilevel"/>
    <w:tmpl w:val="D26025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12E053E"/>
    <w:multiLevelType w:val="hybridMultilevel"/>
    <w:tmpl w:val="0666B1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11B"/>
    <w:rsid w:val="00021049"/>
    <w:rsid w:val="00036569"/>
    <w:rsid w:val="00045BC4"/>
    <w:rsid w:val="00047EFA"/>
    <w:rsid w:val="00052E25"/>
    <w:rsid w:val="0009318F"/>
    <w:rsid w:val="00095583"/>
    <w:rsid w:val="000A1997"/>
    <w:rsid w:val="000A385E"/>
    <w:rsid w:val="000C373F"/>
    <w:rsid w:val="00134496"/>
    <w:rsid w:val="00144980"/>
    <w:rsid w:val="001552B7"/>
    <w:rsid w:val="00191506"/>
    <w:rsid w:val="00191A3C"/>
    <w:rsid w:val="00194562"/>
    <w:rsid w:val="001978E6"/>
    <w:rsid w:val="001B015C"/>
    <w:rsid w:val="001B2B25"/>
    <w:rsid w:val="001B458E"/>
    <w:rsid w:val="001D0503"/>
    <w:rsid w:val="001F1C03"/>
    <w:rsid w:val="001F5907"/>
    <w:rsid w:val="002029D4"/>
    <w:rsid w:val="00205F17"/>
    <w:rsid w:val="00225DA3"/>
    <w:rsid w:val="00232D4A"/>
    <w:rsid w:val="002563E7"/>
    <w:rsid w:val="002617B1"/>
    <w:rsid w:val="00261E4B"/>
    <w:rsid w:val="00271536"/>
    <w:rsid w:val="0028623A"/>
    <w:rsid w:val="00292B20"/>
    <w:rsid w:val="002A49B1"/>
    <w:rsid w:val="002F5AFD"/>
    <w:rsid w:val="0030612A"/>
    <w:rsid w:val="00314585"/>
    <w:rsid w:val="003319D7"/>
    <w:rsid w:val="00347C61"/>
    <w:rsid w:val="00374569"/>
    <w:rsid w:val="00375309"/>
    <w:rsid w:val="003902B3"/>
    <w:rsid w:val="003A1936"/>
    <w:rsid w:val="003A2B82"/>
    <w:rsid w:val="003A646E"/>
    <w:rsid w:val="003B4DEC"/>
    <w:rsid w:val="003B6B78"/>
    <w:rsid w:val="003C0F39"/>
    <w:rsid w:val="003C414E"/>
    <w:rsid w:val="003C6ABE"/>
    <w:rsid w:val="003D1037"/>
    <w:rsid w:val="003E32ED"/>
    <w:rsid w:val="003F07CE"/>
    <w:rsid w:val="003F445A"/>
    <w:rsid w:val="004022A0"/>
    <w:rsid w:val="00412D7B"/>
    <w:rsid w:val="0042557F"/>
    <w:rsid w:val="0043110B"/>
    <w:rsid w:val="004319A2"/>
    <w:rsid w:val="00442CEA"/>
    <w:rsid w:val="004631C8"/>
    <w:rsid w:val="00470E39"/>
    <w:rsid w:val="00486A4D"/>
    <w:rsid w:val="00487793"/>
    <w:rsid w:val="0049477A"/>
    <w:rsid w:val="004A78CC"/>
    <w:rsid w:val="004B265F"/>
    <w:rsid w:val="004C3032"/>
    <w:rsid w:val="004D3263"/>
    <w:rsid w:val="004E2D3B"/>
    <w:rsid w:val="004F1825"/>
    <w:rsid w:val="0050772B"/>
    <w:rsid w:val="00524146"/>
    <w:rsid w:val="005261D0"/>
    <w:rsid w:val="00567896"/>
    <w:rsid w:val="00572B80"/>
    <w:rsid w:val="00572E45"/>
    <w:rsid w:val="00584ABD"/>
    <w:rsid w:val="00591E18"/>
    <w:rsid w:val="005A46FB"/>
    <w:rsid w:val="005C74BA"/>
    <w:rsid w:val="005D1D34"/>
    <w:rsid w:val="005F20B4"/>
    <w:rsid w:val="005F6701"/>
    <w:rsid w:val="006056A4"/>
    <w:rsid w:val="00611151"/>
    <w:rsid w:val="00611267"/>
    <w:rsid w:val="00625F9B"/>
    <w:rsid w:val="006353DD"/>
    <w:rsid w:val="006441AB"/>
    <w:rsid w:val="00646074"/>
    <w:rsid w:val="006804AC"/>
    <w:rsid w:val="00696723"/>
    <w:rsid w:val="006A566D"/>
    <w:rsid w:val="006B3929"/>
    <w:rsid w:val="006C1A53"/>
    <w:rsid w:val="006C3F67"/>
    <w:rsid w:val="006E4504"/>
    <w:rsid w:val="006F1D96"/>
    <w:rsid w:val="006F5112"/>
    <w:rsid w:val="0071498C"/>
    <w:rsid w:val="00721F56"/>
    <w:rsid w:val="00722112"/>
    <w:rsid w:val="00723418"/>
    <w:rsid w:val="007562DD"/>
    <w:rsid w:val="00761631"/>
    <w:rsid w:val="00763650"/>
    <w:rsid w:val="00764F68"/>
    <w:rsid w:val="00765D9B"/>
    <w:rsid w:val="007B3609"/>
    <w:rsid w:val="007E144A"/>
    <w:rsid w:val="007E1BA5"/>
    <w:rsid w:val="007F3138"/>
    <w:rsid w:val="00815F63"/>
    <w:rsid w:val="0082143B"/>
    <w:rsid w:val="00844E61"/>
    <w:rsid w:val="00865401"/>
    <w:rsid w:val="00884EC4"/>
    <w:rsid w:val="00890E21"/>
    <w:rsid w:val="0089241A"/>
    <w:rsid w:val="008954F4"/>
    <w:rsid w:val="008B0C03"/>
    <w:rsid w:val="008B4715"/>
    <w:rsid w:val="008C1DE3"/>
    <w:rsid w:val="008C749E"/>
    <w:rsid w:val="008C74D1"/>
    <w:rsid w:val="008E2ADD"/>
    <w:rsid w:val="008F4B2C"/>
    <w:rsid w:val="00905557"/>
    <w:rsid w:val="00920D89"/>
    <w:rsid w:val="009569E1"/>
    <w:rsid w:val="009851FC"/>
    <w:rsid w:val="009E29C4"/>
    <w:rsid w:val="00A315FB"/>
    <w:rsid w:val="00A50BAC"/>
    <w:rsid w:val="00A522BE"/>
    <w:rsid w:val="00A55C5B"/>
    <w:rsid w:val="00A6111B"/>
    <w:rsid w:val="00A70F46"/>
    <w:rsid w:val="00B13627"/>
    <w:rsid w:val="00B15200"/>
    <w:rsid w:val="00B345E5"/>
    <w:rsid w:val="00B4061C"/>
    <w:rsid w:val="00B51E1A"/>
    <w:rsid w:val="00B86336"/>
    <w:rsid w:val="00BA0E99"/>
    <w:rsid w:val="00BB6299"/>
    <w:rsid w:val="00BC0653"/>
    <w:rsid w:val="00BD47B1"/>
    <w:rsid w:val="00C1208F"/>
    <w:rsid w:val="00C12B0F"/>
    <w:rsid w:val="00C631EB"/>
    <w:rsid w:val="00C70BBD"/>
    <w:rsid w:val="00C770D2"/>
    <w:rsid w:val="00C84BAE"/>
    <w:rsid w:val="00C9546D"/>
    <w:rsid w:val="00CC3CF8"/>
    <w:rsid w:val="00CD096B"/>
    <w:rsid w:val="00CD449B"/>
    <w:rsid w:val="00CF2C91"/>
    <w:rsid w:val="00D017A5"/>
    <w:rsid w:val="00D02512"/>
    <w:rsid w:val="00D130AD"/>
    <w:rsid w:val="00D147B5"/>
    <w:rsid w:val="00D1576B"/>
    <w:rsid w:val="00D36B52"/>
    <w:rsid w:val="00D52BAF"/>
    <w:rsid w:val="00D605E1"/>
    <w:rsid w:val="00D71281"/>
    <w:rsid w:val="00DA58BD"/>
    <w:rsid w:val="00DE64F5"/>
    <w:rsid w:val="00E014B6"/>
    <w:rsid w:val="00E078EB"/>
    <w:rsid w:val="00E12D67"/>
    <w:rsid w:val="00E43DCC"/>
    <w:rsid w:val="00E465FE"/>
    <w:rsid w:val="00E609C4"/>
    <w:rsid w:val="00E63AA4"/>
    <w:rsid w:val="00E811FF"/>
    <w:rsid w:val="00E96807"/>
    <w:rsid w:val="00EA0E91"/>
    <w:rsid w:val="00EB3A1A"/>
    <w:rsid w:val="00EB73A5"/>
    <w:rsid w:val="00EC22E2"/>
    <w:rsid w:val="00ED43F9"/>
    <w:rsid w:val="00ED5D8F"/>
    <w:rsid w:val="00EF6448"/>
    <w:rsid w:val="00F069EC"/>
    <w:rsid w:val="00F11400"/>
    <w:rsid w:val="00F11B01"/>
    <w:rsid w:val="00F21CBA"/>
    <w:rsid w:val="00F23519"/>
    <w:rsid w:val="00F46FDE"/>
    <w:rsid w:val="00F54830"/>
    <w:rsid w:val="00F662D0"/>
    <w:rsid w:val="00F66606"/>
    <w:rsid w:val="00F7594E"/>
    <w:rsid w:val="00FA6892"/>
    <w:rsid w:val="00FB0790"/>
    <w:rsid w:val="00FC2BC9"/>
    <w:rsid w:val="00FD4E6E"/>
    <w:rsid w:val="00FE33A5"/>
    <w:rsid w:val="00FF081F"/>
    <w:rsid w:val="00FF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7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67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67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670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22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22112"/>
    <w:rPr>
      <w:rFonts w:asciiTheme="majorHAnsi" w:eastAsiaTheme="majorEastAsia" w:hAnsiTheme="majorHAnsi" w:cstheme="majorBidi"/>
      <w:sz w:val="18"/>
      <w:szCs w:val="18"/>
    </w:rPr>
  </w:style>
  <w:style w:type="paragraph" w:customStyle="1" w:styleId="3">
    <w:name w:val="字元 字元3 字元 字元 字元"/>
    <w:basedOn w:val="a"/>
    <w:rsid w:val="00375309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9">
    <w:name w:val="List Paragraph"/>
    <w:basedOn w:val="a"/>
    <w:uiPriority w:val="34"/>
    <w:qFormat/>
    <w:rsid w:val="003A193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7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67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67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670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22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22112"/>
    <w:rPr>
      <w:rFonts w:asciiTheme="majorHAnsi" w:eastAsiaTheme="majorEastAsia" w:hAnsiTheme="majorHAnsi" w:cstheme="majorBidi"/>
      <w:sz w:val="18"/>
      <w:szCs w:val="18"/>
    </w:rPr>
  </w:style>
  <w:style w:type="paragraph" w:customStyle="1" w:styleId="3">
    <w:name w:val="字元 字元3 字元 字元 字元"/>
    <w:basedOn w:val="a"/>
    <w:rsid w:val="00375309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9">
    <w:name w:val="List Paragraph"/>
    <w:basedOn w:val="a"/>
    <w:uiPriority w:val="34"/>
    <w:qFormat/>
    <w:rsid w:val="003A193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08FBD-1E58-4F93-9352-634470806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278</Words>
  <Characters>1591</Characters>
  <Application>Microsoft Office Word</Application>
  <DocSecurity>0</DocSecurity>
  <Lines>13</Lines>
  <Paragraphs>3</Paragraphs>
  <ScaleCrop>false</ScaleCrop>
  <Company>SYNNEX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張惠嵐</dc:creator>
  <cp:lastModifiedBy>藍宜亭</cp:lastModifiedBy>
  <cp:revision>2</cp:revision>
  <cp:lastPrinted>2015-01-27T02:33:00Z</cp:lastPrinted>
  <dcterms:created xsi:type="dcterms:W3CDTF">2015-02-14T05:50:00Z</dcterms:created>
  <dcterms:modified xsi:type="dcterms:W3CDTF">2015-02-14T05:50:00Z</dcterms:modified>
</cp:coreProperties>
</file>